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9E9B6" w14:textId="21FF4D57" w:rsidR="00E90E49" w:rsidRPr="00C44547" w:rsidRDefault="00E90E49" w:rsidP="00C44547">
      <w:pPr>
        <w:rPr>
          <w:b/>
          <w:sz w:val="20"/>
          <w:szCs w:val="20"/>
        </w:rPr>
      </w:pPr>
      <w:r w:rsidRPr="00C44547">
        <w:rPr>
          <w:b/>
          <w:sz w:val="20"/>
          <w:szCs w:val="20"/>
        </w:rPr>
        <w:t>3GPP TSG-RAN WG</w:t>
      </w:r>
      <w:r w:rsidR="00BB534C" w:rsidRPr="00C44547">
        <w:rPr>
          <w:b/>
          <w:sz w:val="20"/>
          <w:szCs w:val="20"/>
        </w:rPr>
        <w:t>1</w:t>
      </w:r>
      <w:r w:rsidR="00F835FD" w:rsidRPr="00C44547">
        <w:rPr>
          <w:b/>
          <w:sz w:val="20"/>
          <w:szCs w:val="20"/>
        </w:rPr>
        <w:t xml:space="preserve"> NR#</w:t>
      </w:r>
      <w:r w:rsidR="006669B6" w:rsidRPr="00C44547">
        <w:rPr>
          <w:b/>
          <w:sz w:val="20"/>
          <w:szCs w:val="20"/>
        </w:rPr>
        <w:t>90BIS</w:t>
      </w:r>
      <w:r w:rsidRPr="00C44547">
        <w:rPr>
          <w:b/>
          <w:sz w:val="20"/>
          <w:szCs w:val="20"/>
        </w:rPr>
        <w:tab/>
      </w:r>
      <w:r w:rsidR="00C44547" w:rsidRPr="00C44547">
        <w:rPr>
          <w:b/>
          <w:sz w:val="20"/>
          <w:szCs w:val="20"/>
        </w:rPr>
        <w:tab/>
      </w:r>
      <w:r w:rsidR="00C44547" w:rsidRPr="00C44547">
        <w:rPr>
          <w:b/>
          <w:sz w:val="20"/>
          <w:szCs w:val="20"/>
        </w:rPr>
        <w:tab/>
      </w:r>
      <w:r w:rsidR="00C44547" w:rsidRPr="00C44547">
        <w:rPr>
          <w:b/>
          <w:sz w:val="20"/>
          <w:szCs w:val="20"/>
        </w:rPr>
        <w:tab/>
      </w:r>
      <w:r w:rsidR="00C44547" w:rsidRPr="00C44547">
        <w:rPr>
          <w:b/>
          <w:sz w:val="20"/>
          <w:szCs w:val="20"/>
        </w:rPr>
        <w:tab/>
      </w:r>
      <w:r w:rsidR="00C44547" w:rsidRPr="00C44547">
        <w:rPr>
          <w:b/>
          <w:sz w:val="20"/>
          <w:szCs w:val="20"/>
        </w:rPr>
        <w:tab/>
      </w:r>
      <w:r w:rsidR="00C44547" w:rsidRPr="00C44547">
        <w:rPr>
          <w:b/>
          <w:sz w:val="20"/>
          <w:szCs w:val="20"/>
        </w:rPr>
        <w:tab/>
      </w:r>
      <w:r w:rsidR="00C44547" w:rsidRPr="00C44547">
        <w:rPr>
          <w:b/>
          <w:sz w:val="20"/>
          <w:szCs w:val="20"/>
        </w:rPr>
        <w:tab/>
      </w:r>
      <w:r w:rsidR="00C44547" w:rsidRPr="00C44547">
        <w:rPr>
          <w:b/>
          <w:sz w:val="20"/>
          <w:szCs w:val="20"/>
        </w:rPr>
        <w:tab/>
      </w:r>
      <w:r w:rsidR="00C44547">
        <w:rPr>
          <w:b/>
          <w:sz w:val="20"/>
          <w:szCs w:val="20"/>
        </w:rPr>
        <w:tab/>
      </w:r>
      <w:r w:rsidR="00BB534C" w:rsidRPr="00C44547">
        <w:rPr>
          <w:b/>
          <w:sz w:val="20"/>
          <w:szCs w:val="20"/>
        </w:rPr>
        <w:t>R1</w:t>
      </w:r>
      <w:r w:rsidR="00091557" w:rsidRPr="00C44547">
        <w:rPr>
          <w:b/>
          <w:sz w:val="20"/>
          <w:szCs w:val="20"/>
        </w:rPr>
        <w:t>-</w:t>
      </w:r>
      <w:r w:rsidR="00E36EBA" w:rsidRPr="00C44547">
        <w:rPr>
          <w:rFonts w:ascii="Helvetica" w:eastAsia="Times New Roman" w:hAnsi="Helvetica"/>
          <w:b/>
          <w:color w:val="000000"/>
          <w:sz w:val="20"/>
          <w:szCs w:val="20"/>
        </w:rPr>
        <w:t xml:space="preserve"> </w:t>
      </w:r>
      <w:r w:rsidR="00052B3B" w:rsidRPr="00C44547">
        <w:rPr>
          <w:b/>
          <w:sz w:val="20"/>
          <w:szCs w:val="20"/>
        </w:rPr>
        <w:t>17</w:t>
      </w:r>
      <w:r w:rsidR="00CD4CFE">
        <w:rPr>
          <w:b/>
          <w:sz w:val="20"/>
          <w:szCs w:val="20"/>
        </w:rPr>
        <w:t>17780</w:t>
      </w:r>
    </w:p>
    <w:p w14:paraId="6487D36A" w14:textId="77777777" w:rsidR="00E90E49" w:rsidRPr="00C44547" w:rsidRDefault="006669B6" w:rsidP="00C44547">
      <w:pPr>
        <w:rPr>
          <w:b/>
          <w:sz w:val="20"/>
          <w:szCs w:val="20"/>
        </w:rPr>
      </w:pPr>
      <w:r w:rsidRPr="00C44547">
        <w:rPr>
          <w:b/>
          <w:sz w:val="20"/>
          <w:szCs w:val="20"/>
        </w:rPr>
        <w:t>Prague</w:t>
      </w:r>
      <w:r w:rsidR="002D6B89" w:rsidRPr="00C44547">
        <w:rPr>
          <w:b/>
          <w:sz w:val="20"/>
          <w:szCs w:val="20"/>
        </w:rPr>
        <w:t xml:space="preserve">, </w:t>
      </w:r>
      <w:r w:rsidR="00496462" w:rsidRPr="00C44547">
        <w:rPr>
          <w:b/>
          <w:sz w:val="20"/>
          <w:szCs w:val="20"/>
        </w:rPr>
        <w:t>Czech</w:t>
      </w:r>
      <w:r w:rsidR="002D6B89" w:rsidRPr="00C44547">
        <w:rPr>
          <w:b/>
          <w:sz w:val="20"/>
          <w:szCs w:val="20"/>
        </w:rPr>
        <w:t xml:space="preserve">, </w:t>
      </w:r>
      <w:r w:rsidRPr="00C44547">
        <w:rPr>
          <w:b/>
          <w:sz w:val="20"/>
          <w:szCs w:val="20"/>
        </w:rPr>
        <w:t>9</w:t>
      </w:r>
      <w:r w:rsidR="002D6B89" w:rsidRPr="00C44547">
        <w:rPr>
          <w:b/>
          <w:sz w:val="20"/>
          <w:szCs w:val="20"/>
          <w:vertAlign w:val="superscript"/>
        </w:rPr>
        <w:t>th</w:t>
      </w:r>
      <w:r w:rsidR="002D6B89" w:rsidRPr="00C44547">
        <w:rPr>
          <w:b/>
          <w:sz w:val="20"/>
          <w:szCs w:val="20"/>
        </w:rPr>
        <w:t xml:space="preserve"> – </w:t>
      </w:r>
      <w:r w:rsidRPr="00C44547">
        <w:rPr>
          <w:b/>
          <w:sz w:val="20"/>
          <w:szCs w:val="20"/>
        </w:rPr>
        <w:t>13</w:t>
      </w:r>
      <w:r w:rsidR="002D6B89" w:rsidRPr="00C44547">
        <w:rPr>
          <w:b/>
          <w:sz w:val="20"/>
          <w:szCs w:val="20"/>
          <w:vertAlign w:val="superscript"/>
        </w:rPr>
        <w:t>th</w:t>
      </w:r>
      <w:r w:rsidR="002D6B89" w:rsidRPr="00C44547">
        <w:rPr>
          <w:b/>
          <w:sz w:val="20"/>
          <w:szCs w:val="20"/>
        </w:rPr>
        <w:t xml:space="preserve"> </w:t>
      </w:r>
      <w:r w:rsidRPr="00C44547">
        <w:rPr>
          <w:b/>
          <w:sz w:val="20"/>
          <w:szCs w:val="20"/>
        </w:rPr>
        <w:t>Oct</w:t>
      </w:r>
      <w:r w:rsidR="002D6B89" w:rsidRPr="00C44547">
        <w:rPr>
          <w:b/>
          <w:sz w:val="20"/>
          <w:szCs w:val="20"/>
        </w:rPr>
        <w:t xml:space="preserve"> 2017</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77777777"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7.5</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3CD0BEF" w14:textId="69BDA784" w:rsidR="00536D1C" w:rsidRDefault="003D3C45" w:rsidP="00311702">
      <w:pPr>
        <w:pStyle w:val="3GPPHeader"/>
        <w:rPr>
          <w:sz w:val="22"/>
          <w:szCs w:val="22"/>
        </w:rPr>
      </w:pPr>
      <w:r w:rsidRPr="00315C6E">
        <w:rPr>
          <w:sz w:val="22"/>
          <w:szCs w:val="22"/>
        </w:rPr>
        <w:t>Title:</w:t>
      </w:r>
      <w:r w:rsidR="00E90E49" w:rsidRPr="00315C6E">
        <w:rPr>
          <w:sz w:val="22"/>
          <w:szCs w:val="22"/>
        </w:rPr>
        <w:tab/>
      </w:r>
      <w:r w:rsidR="00CD4CFE">
        <w:rPr>
          <w:sz w:val="22"/>
          <w:szCs w:val="22"/>
        </w:rPr>
        <w:t>TDM single uplink transmission in NR NSA and comparison to dual uplink</w:t>
      </w:r>
      <w:r w:rsidR="00536D1C" w:rsidRPr="00536D1C">
        <w:rPr>
          <w:sz w:val="22"/>
          <w:szCs w:val="22"/>
        </w:rPr>
        <w:t xml:space="preserve"> </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4D2C4EA9" w14:textId="77777777" w:rsidR="001622D5" w:rsidRDefault="001622D5" w:rsidP="001622D5">
      <w:pPr>
        <w:jc w:val="both"/>
        <w:rPr>
          <w:sz w:val="20"/>
          <w:szCs w:val="20"/>
        </w:rPr>
      </w:pPr>
      <w:r w:rsidRPr="00C65EFC">
        <w:rPr>
          <w:sz w:val="20"/>
          <w:szCs w:val="20"/>
        </w:rPr>
        <w:t>It was endorsed in RP #75 (</w:t>
      </w:r>
      <w:r w:rsidR="00FF0CE1" w:rsidRPr="00C65EFC">
        <w:rPr>
          <w:sz w:val="20"/>
          <w:szCs w:val="20"/>
        </w:rPr>
        <w:fldChar w:fldCharType="begin"/>
      </w:r>
      <w:r w:rsidR="00FF0CE1" w:rsidRPr="00C65EFC">
        <w:rPr>
          <w:sz w:val="20"/>
          <w:szCs w:val="20"/>
        </w:rPr>
        <w:instrText xml:space="preserve"> REF _Ref485052628 \n \h </w:instrText>
      </w:r>
      <w:r w:rsidR="00C65EFC">
        <w:rPr>
          <w:sz w:val="20"/>
          <w:szCs w:val="20"/>
        </w:rPr>
        <w:instrText xml:space="preserve"> \* MERGEFORMAT </w:instrText>
      </w:r>
      <w:r w:rsidR="00FF0CE1" w:rsidRPr="00C65EFC">
        <w:rPr>
          <w:sz w:val="20"/>
          <w:szCs w:val="20"/>
        </w:rPr>
      </w:r>
      <w:r w:rsidR="00FF0CE1" w:rsidRPr="00C65EFC">
        <w:rPr>
          <w:sz w:val="20"/>
          <w:szCs w:val="20"/>
        </w:rPr>
        <w:fldChar w:fldCharType="separate"/>
      </w:r>
      <w:r w:rsidR="00CB4A54">
        <w:rPr>
          <w:sz w:val="20"/>
          <w:szCs w:val="20"/>
        </w:rPr>
        <w:t>[1]</w:t>
      </w:r>
      <w:r w:rsidR="00FF0CE1" w:rsidRPr="00C65EFC">
        <w:rPr>
          <w:sz w:val="20"/>
          <w:szCs w:val="20"/>
        </w:rPr>
        <w:fldChar w:fldCharType="end"/>
      </w:r>
      <w:r w:rsidR="00FF0CE1" w:rsidRPr="00C65EFC">
        <w:rPr>
          <w:sz w:val="20"/>
          <w:szCs w:val="20"/>
        </w:rPr>
        <w:fldChar w:fldCharType="begin"/>
      </w:r>
      <w:r w:rsidR="00FF0CE1" w:rsidRPr="00C65EFC">
        <w:rPr>
          <w:sz w:val="20"/>
          <w:szCs w:val="20"/>
        </w:rPr>
        <w:instrText xml:space="preserve"> REF _Ref485052638 \n \h </w:instrText>
      </w:r>
      <w:r w:rsidR="00C65EFC">
        <w:rPr>
          <w:sz w:val="20"/>
          <w:szCs w:val="20"/>
        </w:rPr>
        <w:instrText xml:space="preserve"> \* MERGEFORMAT </w:instrText>
      </w:r>
      <w:r w:rsidR="00FF0CE1" w:rsidRPr="00C65EFC">
        <w:rPr>
          <w:sz w:val="20"/>
          <w:szCs w:val="20"/>
        </w:rPr>
      </w:r>
      <w:r w:rsidR="00FF0CE1" w:rsidRPr="00C65EFC">
        <w:rPr>
          <w:sz w:val="20"/>
          <w:szCs w:val="20"/>
        </w:rPr>
        <w:fldChar w:fldCharType="separate"/>
      </w:r>
      <w:r w:rsidR="00CB4A54">
        <w:rPr>
          <w:sz w:val="20"/>
          <w:szCs w:val="20"/>
        </w:rPr>
        <w:t>[2]</w:t>
      </w:r>
      <w:r w:rsidR="00FF0CE1" w:rsidRPr="00C65EFC">
        <w:rPr>
          <w:sz w:val="20"/>
          <w:szCs w:val="20"/>
        </w:rPr>
        <w:fldChar w:fldCharType="end"/>
      </w:r>
      <w:r w:rsidRPr="00C65EFC">
        <w:rPr>
          <w:sz w:val="20"/>
          <w:szCs w:val="20"/>
        </w:rPr>
        <w:t xml:space="preserve">) that NR Rel.15 will prioritize the option 3 non-standalone (NSA) mode as the first phase of NR specification, in order to expedite the initial NR deployment. The option 3 NSA mode, as shown in </w:t>
      </w:r>
      <w:r w:rsidRPr="00C65EFC">
        <w:rPr>
          <w:sz w:val="20"/>
          <w:szCs w:val="20"/>
        </w:rPr>
        <w:fldChar w:fldCharType="begin"/>
      </w:r>
      <w:r w:rsidRPr="00C65EFC">
        <w:rPr>
          <w:sz w:val="20"/>
          <w:szCs w:val="20"/>
        </w:rPr>
        <w:instrText xml:space="preserve"> REF _Ref485405908 \h </w:instrText>
      </w:r>
      <w:r w:rsidR="00C65EFC">
        <w:rPr>
          <w:sz w:val="20"/>
          <w:szCs w:val="20"/>
        </w:rPr>
        <w:instrText xml:space="preserve"> \* MERGEFORMAT </w:instrText>
      </w:r>
      <w:r w:rsidRPr="00C65EFC">
        <w:rPr>
          <w:sz w:val="20"/>
          <w:szCs w:val="20"/>
        </w:rPr>
      </w:r>
      <w:r w:rsidRPr="00C65EFC">
        <w:rPr>
          <w:sz w:val="20"/>
          <w:szCs w:val="20"/>
        </w:rPr>
        <w:fldChar w:fldCharType="separate"/>
      </w:r>
      <w:r w:rsidR="00CB4A54" w:rsidRPr="00C65EFC">
        <w:rPr>
          <w:sz w:val="20"/>
          <w:szCs w:val="20"/>
        </w:rPr>
        <w:t xml:space="preserve">Figure </w:t>
      </w:r>
      <w:r w:rsidR="00CB4A54">
        <w:rPr>
          <w:noProof/>
          <w:sz w:val="20"/>
          <w:szCs w:val="20"/>
        </w:rPr>
        <w:t>1</w:t>
      </w:r>
      <w:r w:rsidRPr="00C65EFC">
        <w:rPr>
          <w:sz w:val="20"/>
          <w:szCs w:val="20"/>
        </w:rPr>
        <w:fldChar w:fldCharType="end"/>
      </w:r>
      <w:r w:rsidRPr="00C65EFC">
        <w:rPr>
          <w:sz w:val="20"/>
          <w:szCs w:val="20"/>
        </w:rPr>
        <w:t xml:space="preserve">, operates in inter-RAT dual connectivity, where the control plane signaling goes through LTE </w:t>
      </w:r>
      <w:proofErr w:type="spellStart"/>
      <w:r w:rsidRPr="00C65EFC">
        <w:rPr>
          <w:sz w:val="20"/>
          <w:szCs w:val="20"/>
        </w:rPr>
        <w:t>eNB</w:t>
      </w:r>
      <w:proofErr w:type="spellEnd"/>
      <w:r w:rsidRPr="00C65EFC">
        <w:rPr>
          <w:sz w:val="20"/>
          <w:szCs w:val="20"/>
        </w:rPr>
        <w:t xml:space="preserve"> and user plane payload can be sent through NR </w:t>
      </w:r>
      <w:proofErr w:type="spellStart"/>
      <w:r w:rsidRPr="00C65EFC">
        <w:rPr>
          <w:sz w:val="20"/>
          <w:szCs w:val="20"/>
        </w:rPr>
        <w:t>gNB</w:t>
      </w:r>
      <w:proofErr w:type="spellEnd"/>
      <w:r w:rsidR="003F0E82" w:rsidRPr="00C65EFC">
        <w:rPr>
          <w:sz w:val="20"/>
          <w:szCs w:val="20"/>
        </w:rPr>
        <w:t xml:space="preserve"> </w:t>
      </w:r>
      <w:r w:rsidR="00FF0CE1" w:rsidRPr="00C65EFC">
        <w:rPr>
          <w:sz w:val="20"/>
          <w:szCs w:val="20"/>
        </w:rPr>
        <w:fldChar w:fldCharType="begin"/>
      </w:r>
      <w:r w:rsidR="00FF0CE1" w:rsidRPr="00C65EFC">
        <w:rPr>
          <w:sz w:val="20"/>
          <w:szCs w:val="20"/>
        </w:rPr>
        <w:instrText xml:space="preserve"> REF _Ref485406401 \n \h </w:instrText>
      </w:r>
      <w:r w:rsidR="00C65EFC">
        <w:rPr>
          <w:sz w:val="20"/>
          <w:szCs w:val="20"/>
        </w:rPr>
        <w:instrText xml:space="preserve"> \* MERGEFORMAT </w:instrText>
      </w:r>
      <w:r w:rsidR="00FF0CE1" w:rsidRPr="00C65EFC">
        <w:rPr>
          <w:sz w:val="20"/>
          <w:szCs w:val="20"/>
        </w:rPr>
      </w:r>
      <w:r w:rsidR="00FF0CE1" w:rsidRPr="00C65EFC">
        <w:rPr>
          <w:sz w:val="20"/>
          <w:szCs w:val="20"/>
        </w:rPr>
        <w:fldChar w:fldCharType="separate"/>
      </w:r>
      <w:r w:rsidR="00CB4A54">
        <w:rPr>
          <w:sz w:val="20"/>
          <w:szCs w:val="20"/>
        </w:rPr>
        <w:t>[3]</w:t>
      </w:r>
      <w:r w:rsidR="00FF0CE1" w:rsidRPr="00C65EFC">
        <w:rPr>
          <w:sz w:val="20"/>
          <w:szCs w:val="20"/>
        </w:rPr>
        <w:fldChar w:fldCharType="end"/>
      </w:r>
      <w:r w:rsidRPr="00C65EFC">
        <w:rPr>
          <w:sz w:val="20"/>
          <w:szCs w:val="20"/>
        </w:rPr>
        <w:t>.</w:t>
      </w:r>
    </w:p>
    <w:p w14:paraId="37D2997D" w14:textId="77777777" w:rsidR="00182925" w:rsidRPr="00C65EFC" w:rsidRDefault="00182925" w:rsidP="001622D5">
      <w:pPr>
        <w:jc w:val="both"/>
        <w:rPr>
          <w:sz w:val="20"/>
          <w:szCs w:val="20"/>
        </w:rPr>
      </w:pPr>
    </w:p>
    <w:p w14:paraId="25572010" w14:textId="77777777" w:rsidR="001622D5" w:rsidRPr="00C65EFC" w:rsidRDefault="003F5328" w:rsidP="001622D5">
      <w:pPr>
        <w:jc w:val="center"/>
        <w:rPr>
          <w:sz w:val="20"/>
          <w:szCs w:val="20"/>
        </w:rPr>
      </w:pPr>
      <w:r w:rsidRPr="00C65EFC">
        <w:rPr>
          <w:noProof/>
          <w:sz w:val="20"/>
          <w:szCs w:val="20"/>
          <w:lang w:eastAsia="en-US"/>
        </w:rPr>
        <w:drawing>
          <wp:inline distT="0" distB="0" distL="0" distR="0" wp14:anchorId="42757471" wp14:editId="2F00E4CD">
            <wp:extent cx="4883785" cy="1307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83785" cy="1307465"/>
                    </a:xfrm>
                    <a:prstGeom prst="rect">
                      <a:avLst/>
                    </a:prstGeom>
                    <a:noFill/>
                    <a:ln>
                      <a:noFill/>
                    </a:ln>
                  </pic:spPr>
                </pic:pic>
              </a:graphicData>
            </a:graphic>
          </wp:inline>
        </w:drawing>
      </w:r>
    </w:p>
    <w:p w14:paraId="1A75BC83" w14:textId="77777777" w:rsidR="001622D5" w:rsidRPr="00C65EFC" w:rsidRDefault="001622D5" w:rsidP="001622D5">
      <w:pPr>
        <w:pStyle w:val="Caption"/>
        <w:rPr>
          <w:sz w:val="20"/>
          <w:szCs w:val="20"/>
        </w:rPr>
      </w:pPr>
      <w:bookmarkStart w:id="0" w:name="_Ref485405908"/>
      <w:r w:rsidRPr="00C65EFC">
        <w:rPr>
          <w:sz w:val="20"/>
          <w:szCs w:val="20"/>
        </w:rPr>
        <w:t xml:space="preserve">Figure </w:t>
      </w:r>
      <w:r w:rsidRPr="00C65EFC">
        <w:rPr>
          <w:sz w:val="20"/>
          <w:szCs w:val="20"/>
        </w:rPr>
        <w:fldChar w:fldCharType="begin"/>
      </w:r>
      <w:r w:rsidRPr="00C65EFC">
        <w:rPr>
          <w:sz w:val="20"/>
          <w:szCs w:val="20"/>
        </w:rPr>
        <w:instrText xml:space="preserve"> SEQ Figure \* ARABIC </w:instrText>
      </w:r>
      <w:r w:rsidRPr="00C65EFC">
        <w:rPr>
          <w:sz w:val="20"/>
          <w:szCs w:val="20"/>
        </w:rPr>
        <w:fldChar w:fldCharType="separate"/>
      </w:r>
      <w:r w:rsidR="00934191">
        <w:rPr>
          <w:noProof/>
          <w:sz w:val="20"/>
          <w:szCs w:val="20"/>
        </w:rPr>
        <w:t>1</w:t>
      </w:r>
      <w:r w:rsidRPr="00C65EFC">
        <w:rPr>
          <w:noProof/>
          <w:sz w:val="20"/>
          <w:szCs w:val="20"/>
        </w:rPr>
        <w:fldChar w:fldCharType="end"/>
      </w:r>
      <w:bookmarkEnd w:id="0"/>
      <w:r w:rsidRPr="00C65EFC">
        <w:rPr>
          <w:sz w:val="20"/>
          <w:szCs w:val="20"/>
        </w:rPr>
        <w:t xml:space="preserve">  5G NSA RAN architecture 3 and 3A</w:t>
      </w:r>
    </w:p>
    <w:p w14:paraId="24B1C063" w14:textId="77777777" w:rsidR="00CC33B9" w:rsidRDefault="001622D5" w:rsidP="001622D5">
      <w:pPr>
        <w:jc w:val="both"/>
        <w:rPr>
          <w:sz w:val="20"/>
          <w:szCs w:val="20"/>
        </w:rPr>
      </w:pPr>
      <w:r w:rsidRPr="00C65EFC">
        <w:rPr>
          <w:sz w:val="20"/>
          <w:szCs w:val="20"/>
        </w:rPr>
        <w:t xml:space="preserve">As explained in </w:t>
      </w:r>
      <w:r w:rsidR="00112A0F" w:rsidRPr="00C65EFC">
        <w:rPr>
          <w:sz w:val="20"/>
          <w:szCs w:val="20"/>
        </w:rPr>
        <w:fldChar w:fldCharType="begin"/>
      </w:r>
      <w:r w:rsidR="00112A0F" w:rsidRPr="00C65EFC">
        <w:rPr>
          <w:sz w:val="20"/>
          <w:szCs w:val="20"/>
        </w:rPr>
        <w:instrText xml:space="preserve"> REF _Ref485064906 \n \h </w:instrText>
      </w:r>
      <w:r w:rsidR="00C65EFC">
        <w:rPr>
          <w:sz w:val="20"/>
          <w:szCs w:val="20"/>
        </w:rPr>
        <w:instrText xml:space="preserve"> \* MERGEFORMAT </w:instrText>
      </w:r>
      <w:r w:rsidR="00112A0F" w:rsidRPr="00C65EFC">
        <w:rPr>
          <w:sz w:val="20"/>
          <w:szCs w:val="20"/>
        </w:rPr>
      </w:r>
      <w:r w:rsidR="00112A0F" w:rsidRPr="00C65EFC">
        <w:rPr>
          <w:sz w:val="20"/>
          <w:szCs w:val="20"/>
        </w:rPr>
        <w:fldChar w:fldCharType="separate"/>
      </w:r>
      <w:r w:rsidR="00CB4A54">
        <w:rPr>
          <w:sz w:val="20"/>
          <w:szCs w:val="20"/>
        </w:rPr>
        <w:t>[4]</w:t>
      </w:r>
      <w:r w:rsidR="00112A0F" w:rsidRPr="00C65EFC">
        <w:rPr>
          <w:sz w:val="20"/>
          <w:szCs w:val="20"/>
        </w:rPr>
        <w:fldChar w:fldCharType="end"/>
      </w:r>
      <w:r w:rsidR="00112A0F" w:rsidRPr="00C65EFC">
        <w:rPr>
          <w:sz w:val="20"/>
          <w:szCs w:val="20"/>
        </w:rPr>
        <w:fldChar w:fldCharType="begin"/>
      </w:r>
      <w:r w:rsidR="00112A0F" w:rsidRPr="00C65EFC">
        <w:rPr>
          <w:sz w:val="20"/>
          <w:szCs w:val="20"/>
        </w:rPr>
        <w:instrText xml:space="preserve"> REF _Ref485064908 \n \h </w:instrText>
      </w:r>
      <w:r w:rsidR="00C65EFC">
        <w:rPr>
          <w:sz w:val="20"/>
          <w:szCs w:val="20"/>
        </w:rPr>
        <w:instrText xml:space="preserve"> \* MERGEFORMAT </w:instrText>
      </w:r>
      <w:r w:rsidR="00112A0F" w:rsidRPr="00C65EFC">
        <w:rPr>
          <w:sz w:val="20"/>
          <w:szCs w:val="20"/>
        </w:rPr>
      </w:r>
      <w:r w:rsidR="00112A0F" w:rsidRPr="00C65EFC">
        <w:rPr>
          <w:sz w:val="20"/>
          <w:szCs w:val="20"/>
        </w:rPr>
        <w:fldChar w:fldCharType="separate"/>
      </w:r>
      <w:r w:rsidR="00CB4A54">
        <w:rPr>
          <w:sz w:val="20"/>
          <w:szCs w:val="20"/>
        </w:rPr>
        <w:t>[5]</w:t>
      </w:r>
      <w:r w:rsidR="00112A0F" w:rsidRPr="00C65EFC">
        <w:rPr>
          <w:sz w:val="20"/>
          <w:szCs w:val="20"/>
        </w:rPr>
        <w:fldChar w:fldCharType="end"/>
      </w:r>
      <w:r w:rsidR="00112A0F" w:rsidRPr="00C65EFC">
        <w:rPr>
          <w:sz w:val="20"/>
          <w:szCs w:val="20"/>
        </w:rPr>
        <w:fldChar w:fldCharType="begin"/>
      </w:r>
      <w:r w:rsidR="00112A0F" w:rsidRPr="00C65EFC">
        <w:rPr>
          <w:sz w:val="20"/>
          <w:szCs w:val="20"/>
        </w:rPr>
        <w:instrText xml:space="preserve"> REF _Ref481669477 \n \h </w:instrText>
      </w:r>
      <w:r w:rsidR="00C65EFC">
        <w:rPr>
          <w:sz w:val="20"/>
          <w:szCs w:val="20"/>
        </w:rPr>
        <w:instrText xml:space="preserve"> \* MERGEFORMAT </w:instrText>
      </w:r>
      <w:r w:rsidR="00112A0F" w:rsidRPr="00C65EFC">
        <w:rPr>
          <w:sz w:val="20"/>
          <w:szCs w:val="20"/>
        </w:rPr>
      </w:r>
      <w:r w:rsidR="00112A0F" w:rsidRPr="00C65EFC">
        <w:rPr>
          <w:sz w:val="20"/>
          <w:szCs w:val="20"/>
        </w:rPr>
        <w:fldChar w:fldCharType="separate"/>
      </w:r>
      <w:r w:rsidR="00CB4A54">
        <w:rPr>
          <w:sz w:val="20"/>
          <w:szCs w:val="20"/>
        </w:rPr>
        <w:t>[6]</w:t>
      </w:r>
      <w:r w:rsidR="00112A0F" w:rsidRPr="00C65EFC">
        <w:rPr>
          <w:sz w:val="20"/>
          <w:szCs w:val="20"/>
        </w:rPr>
        <w:fldChar w:fldCharType="end"/>
      </w:r>
      <w:r w:rsidRPr="00C65EFC">
        <w:rPr>
          <w:sz w:val="20"/>
          <w:szCs w:val="20"/>
        </w:rPr>
        <w:t xml:space="preserve">, depending on the band combinations, sending two concurrent uplinks in two different bands can produce undesirable inter-modulations that degrades UE’s RX sensitivity. This creates challenges in UE RF implementations. </w:t>
      </w:r>
    </w:p>
    <w:p w14:paraId="563FB4A7" w14:textId="77777777" w:rsidR="00CC33B9" w:rsidRDefault="00CC33B9" w:rsidP="001622D5">
      <w:pPr>
        <w:jc w:val="both"/>
        <w:rPr>
          <w:sz w:val="20"/>
          <w:szCs w:val="20"/>
        </w:rPr>
      </w:pPr>
    </w:p>
    <w:p w14:paraId="31CDB7FF" w14:textId="640FE08A" w:rsidR="007D29F2" w:rsidRDefault="00CC33B9" w:rsidP="001622D5">
      <w:pPr>
        <w:jc w:val="both"/>
        <w:rPr>
          <w:sz w:val="20"/>
          <w:szCs w:val="20"/>
        </w:rPr>
      </w:pPr>
      <w:r>
        <w:rPr>
          <w:sz w:val="20"/>
          <w:szCs w:val="20"/>
        </w:rPr>
        <w:t xml:space="preserve">The issue has been </w:t>
      </w:r>
      <w:r w:rsidR="0098168C">
        <w:rPr>
          <w:sz w:val="20"/>
          <w:szCs w:val="20"/>
        </w:rPr>
        <w:t>discussed in RAN plenary #77</w:t>
      </w:r>
      <w:r w:rsidR="00E75471">
        <w:rPr>
          <w:sz w:val="20"/>
          <w:szCs w:val="20"/>
        </w:rPr>
        <w:t xml:space="preserve"> (</w:t>
      </w:r>
      <w:r w:rsidR="00E75471">
        <w:rPr>
          <w:sz w:val="20"/>
          <w:szCs w:val="20"/>
        </w:rPr>
        <w:fldChar w:fldCharType="begin"/>
      </w:r>
      <w:r w:rsidR="00E75471">
        <w:rPr>
          <w:sz w:val="20"/>
          <w:szCs w:val="20"/>
        </w:rPr>
        <w:instrText xml:space="preserve"> REF _Ref494651832 \r \h </w:instrText>
      </w:r>
      <w:r w:rsidR="00E75471">
        <w:rPr>
          <w:sz w:val="20"/>
          <w:szCs w:val="20"/>
        </w:rPr>
      </w:r>
      <w:r w:rsidR="00E75471">
        <w:rPr>
          <w:sz w:val="20"/>
          <w:szCs w:val="20"/>
        </w:rPr>
        <w:fldChar w:fldCharType="separate"/>
      </w:r>
      <w:r w:rsidR="00E75471">
        <w:rPr>
          <w:sz w:val="20"/>
          <w:szCs w:val="20"/>
        </w:rPr>
        <w:t>[7]</w:t>
      </w:r>
      <w:r w:rsidR="00E75471">
        <w:rPr>
          <w:sz w:val="20"/>
          <w:szCs w:val="20"/>
        </w:rPr>
        <w:fldChar w:fldCharType="end"/>
      </w:r>
      <w:r w:rsidR="00E75471">
        <w:rPr>
          <w:sz w:val="20"/>
          <w:szCs w:val="20"/>
        </w:rPr>
        <w:fldChar w:fldCharType="begin"/>
      </w:r>
      <w:r w:rsidR="00E75471">
        <w:rPr>
          <w:sz w:val="20"/>
          <w:szCs w:val="20"/>
        </w:rPr>
        <w:instrText xml:space="preserve"> REF _Ref494651834 \r \h </w:instrText>
      </w:r>
      <w:r w:rsidR="00E75471">
        <w:rPr>
          <w:sz w:val="20"/>
          <w:szCs w:val="20"/>
        </w:rPr>
      </w:r>
      <w:r w:rsidR="00E75471">
        <w:rPr>
          <w:sz w:val="20"/>
          <w:szCs w:val="20"/>
        </w:rPr>
        <w:fldChar w:fldCharType="separate"/>
      </w:r>
      <w:r w:rsidR="00E75471">
        <w:rPr>
          <w:sz w:val="20"/>
          <w:szCs w:val="20"/>
        </w:rPr>
        <w:t>[8]</w:t>
      </w:r>
      <w:r w:rsidR="00E75471">
        <w:rPr>
          <w:sz w:val="20"/>
          <w:szCs w:val="20"/>
        </w:rPr>
        <w:fldChar w:fldCharType="end"/>
      </w:r>
      <w:r w:rsidR="00E75471">
        <w:rPr>
          <w:sz w:val="20"/>
          <w:szCs w:val="20"/>
        </w:rPr>
        <w:fldChar w:fldCharType="begin"/>
      </w:r>
      <w:r w:rsidR="00E75471">
        <w:rPr>
          <w:sz w:val="20"/>
          <w:szCs w:val="20"/>
        </w:rPr>
        <w:instrText xml:space="preserve"> REF _Ref494651835 \r \h </w:instrText>
      </w:r>
      <w:r w:rsidR="00E75471">
        <w:rPr>
          <w:sz w:val="20"/>
          <w:szCs w:val="20"/>
        </w:rPr>
      </w:r>
      <w:r w:rsidR="00E75471">
        <w:rPr>
          <w:sz w:val="20"/>
          <w:szCs w:val="20"/>
        </w:rPr>
        <w:fldChar w:fldCharType="separate"/>
      </w:r>
      <w:r w:rsidR="00E75471">
        <w:rPr>
          <w:sz w:val="20"/>
          <w:szCs w:val="20"/>
        </w:rPr>
        <w:t>[9]</w:t>
      </w:r>
      <w:r w:rsidR="00E75471">
        <w:rPr>
          <w:sz w:val="20"/>
          <w:szCs w:val="20"/>
        </w:rPr>
        <w:fldChar w:fldCharType="end"/>
      </w:r>
      <w:r w:rsidR="00E75471">
        <w:rPr>
          <w:sz w:val="20"/>
          <w:szCs w:val="20"/>
        </w:rPr>
        <w:t>), and it was concluded that:</w:t>
      </w:r>
    </w:p>
    <w:p w14:paraId="1E55FE77" w14:textId="4EE38BDA" w:rsidR="00E75471" w:rsidRDefault="00E75471" w:rsidP="00E75471">
      <w:pPr>
        <w:pStyle w:val="ListParagraph"/>
        <w:numPr>
          <w:ilvl w:val="0"/>
          <w:numId w:val="46"/>
        </w:numPr>
        <w:jc w:val="both"/>
        <w:rPr>
          <w:sz w:val="20"/>
          <w:szCs w:val="20"/>
        </w:rPr>
      </w:pPr>
      <w:r>
        <w:rPr>
          <w:sz w:val="20"/>
          <w:szCs w:val="20"/>
        </w:rPr>
        <w:t xml:space="preserve">Simultaneous 2Tx is </w:t>
      </w:r>
      <w:r w:rsidRPr="00E75471">
        <w:rPr>
          <w:sz w:val="20"/>
          <w:szCs w:val="20"/>
          <w:u w:val="single"/>
        </w:rPr>
        <w:t>optional</w:t>
      </w:r>
      <w:r>
        <w:rPr>
          <w:sz w:val="20"/>
          <w:szCs w:val="20"/>
        </w:rPr>
        <w:t xml:space="preserve"> for some “difficult” band/channel combinations, while </w:t>
      </w:r>
      <w:r w:rsidRPr="00E75471">
        <w:rPr>
          <w:sz w:val="20"/>
          <w:szCs w:val="20"/>
          <w:u w:val="single"/>
        </w:rPr>
        <w:t>mandatory</w:t>
      </w:r>
      <w:r>
        <w:rPr>
          <w:sz w:val="20"/>
          <w:szCs w:val="20"/>
        </w:rPr>
        <w:t xml:space="preserve"> for other “easy” ban/channel combinations</w:t>
      </w:r>
    </w:p>
    <w:p w14:paraId="5AC7ED3E" w14:textId="4AB24BF1" w:rsidR="00E75471" w:rsidRDefault="00E75471" w:rsidP="00E75471">
      <w:pPr>
        <w:pStyle w:val="ListParagraph"/>
        <w:numPr>
          <w:ilvl w:val="1"/>
          <w:numId w:val="46"/>
        </w:numPr>
        <w:jc w:val="both"/>
        <w:rPr>
          <w:sz w:val="20"/>
          <w:szCs w:val="20"/>
        </w:rPr>
      </w:pPr>
      <w:r>
        <w:rPr>
          <w:sz w:val="20"/>
          <w:szCs w:val="20"/>
        </w:rPr>
        <w:t>The categorization of “easy” and “difficult” band/channel combinations is up to RAN4</w:t>
      </w:r>
    </w:p>
    <w:p w14:paraId="0DA544D1" w14:textId="6225FE2F" w:rsidR="00E75471" w:rsidRDefault="00EE3AF2" w:rsidP="00E75471">
      <w:pPr>
        <w:pStyle w:val="ListParagraph"/>
        <w:numPr>
          <w:ilvl w:val="0"/>
          <w:numId w:val="46"/>
        </w:numPr>
        <w:jc w:val="both"/>
        <w:rPr>
          <w:sz w:val="20"/>
          <w:szCs w:val="20"/>
        </w:rPr>
      </w:pPr>
      <w:r>
        <w:rPr>
          <w:sz w:val="20"/>
          <w:szCs w:val="20"/>
        </w:rPr>
        <w:t>RAN2 to define UE capability signaling to indicate that the UE does not allow 2 simultaneous UL transmission for the RAN4 specified channel allocations in a given band combination.</w:t>
      </w:r>
    </w:p>
    <w:p w14:paraId="66953FE4" w14:textId="668C0D0E" w:rsidR="00EE3AF2" w:rsidRDefault="00EE3AF2" w:rsidP="00EE3AF2">
      <w:pPr>
        <w:pStyle w:val="ListParagraph"/>
        <w:numPr>
          <w:ilvl w:val="1"/>
          <w:numId w:val="46"/>
        </w:numPr>
        <w:jc w:val="both"/>
        <w:rPr>
          <w:sz w:val="20"/>
          <w:szCs w:val="20"/>
        </w:rPr>
      </w:pPr>
      <w:r>
        <w:rPr>
          <w:sz w:val="20"/>
          <w:szCs w:val="20"/>
        </w:rPr>
        <w:t>If the network chooses to operate the UE in a way that is not consistent with this capability indication then the UE behavior is not specified and the UE might not meet the performance criteria.</w:t>
      </w:r>
    </w:p>
    <w:p w14:paraId="25DDB571" w14:textId="3064DE0D" w:rsidR="00EE3AF2" w:rsidRPr="00E75471" w:rsidRDefault="00EE3AF2" w:rsidP="00EE3AF2">
      <w:pPr>
        <w:pStyle w:val="ListParagraph"/>
        <w:numPr>
          <w:ilvl w:val="0"/>
          <w:numId w:val="46"/>
        </w:numPr>
        <w:jc w:val="both"/>
        <w:rPr>
          <w:sz w:val="20"/>
          <w:szCs w:val="20"/>
        </w:rPr>
      </w:pPr>
      <w:r w:rsidRPr="00EE3AF2">
        <w:rPr>
          <w:sz w:val="20"/>
          <w:szCs w:val="20"/>
        </w:rPr>
        <w:t>All the RAN WGs should complete their tasks by December 2017 to allow the feature to be introduced to the specifi</w:t>
      </w:r>
      <w:r>
        <w:rPr>
          <w:sz w:val="20"/>
          <w:szCs w:val="20"/>
        </w:rPr>
        <w:t>c</w:t>
      </w:r>
      <w:r w:rsidRPr="00EE3AF2">
        <w:rPr>
          <w:sz w:val="20"/>
          <w:szCs w:val="20"/>
        </w:rPr>
        <w:t>ations</w:t>
      </w:r>
      <w:r>
        <w:rPr>
          <w:sz w:val="16"/>
          <w:szCs w:val="20"/>
        </w:rPr>
        <w:t>.</w:t>
      </w:r>
    </w:p>
    <w:p w14:paraId="3C187346" w14:textId="77777777" w:rsidR="007D29F2" w:rsidRPr="00C65EFC" w:rsidRDefault="007D29F2" w:rsidP="001622D5">
      <w:pPr>
        <w:jc w:val="both"/>
        <w:rPr>
          <w:sz w:val="20"/>
          <w:szCs w:val="20"/>
        </w:rPr>
      </w:pPr>
    </w:p>
    <w:p w14:paraId="1E460162" w14:textId="6BDD2F7F" w:rsidR="00100B06" w:rsidRDefault="00100B06" w:rsidP="001622D5">
      <w:pPr>
        <w:jc w:val="both"/>
        <w:rPr>
          <w:sz w:val="20"/>
          <w:szCs w:val="20"/>
        </w:rPr>
      </w:pPr>
      <w:r>
        <w:rPr>
          <w:sz w:val="20"/>
          <w:szCs w:val="20"/>
        </w:rPr>
        <w:t xml:space="preserve">In this contribution, we briefly summarize the current status on the design of single </w:t>
      </w:r>
      <w:proofErr w:type="spellStart"/>
      <w:r>
        <w:rPr>
          <w:sz w:val="20"/>
          <w:szCs w:val="20"/>
        </w:rPr>
        <w:t>Tx</w:t>
      </w:r>
      <w:proofErr w:type="spellEnd"/>
      <w:r>
        <w:rPr>
          <w:sz w:val="20"/>
          <w:szCs w:val="20"/>
        </w:rPr>
        <w:t xml:space="preserve"> switched UL in RAN1, and further clarify the implication of current RAN1 agreements on LTE UL carrier HARQ timing (note that the implication on LTE DL carrier HARQ timing has already been explained in </w:t>
      </w:r>
      <w:r w:rsidR="00DF0469">
        <w:rPr>
          <w:sz w:val="20"/>
          <w:szCs w:val="20"/>
        </w:rPr>
        <w:fldChar w:fldCharType="begin"/>
      </w:r>
      <w:r w:rsidR="00DF0469">
        <w:rPr>
          <w:sz w:val="20"/>
          <w:szCs w:val="20"/>
        </w:rPr>
        <w:instrText xml:space="preserve"> REF _Ref494653034 \r \h </w:instrText>
      </w:r>
      <w:r w:rsidR="00DF0469">
        <w:rPr>
          <w:sz w:val="20"/>
          <w:szCs w:val="20"/>
        </w:rPr>
      </w:r>
      <w:r w:rsidR="00DF0469">
        <w:rPr>
          <w:sz w:val="20"/>
          <w:szCs w:val="20"/>
        </w:rPr>
        <w:fldChar w:fldCharType="separate"/>
      </w:r>
      <w:r w:rsidR="00DF0469">
        <w:rPr>
          <w:sz w:val="20"/>
          <w:szCs w:val="20"/>
        </w:rPr>
        <w:t>[10]</w:t>
      </w:r>
      <w:r w:rsidR="00DF0469">
        <w:rPr>
          <w:sz w:val="20"/>
          <w:szCs w:val="20"/>
        </w:rPr>
        <w:fldChar w:fldCharType="end"/>
      </w:r>
      <w:r w:rsidR="00DF0469">
        <w:rPr>
          <w:sz w:val="20"/>
          <w:szCs w:val="20"/>
        </w:rPr>
        <w:t>). In addition, since there were so</w:t>
      </w:r>
      <w:r w:rsidR="007D1AC9">
        <w:rPr>
          <w:sz w:val="20"/>
          <w:szCs w:val="20"/>
        </w:rPr>
        <w:t>me concerns on the</w:t>
      </w:r>
      <w:r w:rsidR="00DF0469">
        <w:rPr>
          <w:sz w:val="20"/>
          <w:szCs w:val="20"/>
        </w:rPr>
        <w:t xml:space="preserve"> UL throughput </w:t>
      </w:r>
      <w:r w:rsidR="007D1AC9">
        <w:rPr>
          <w:sz w:val="20"/>
          <w:szCs w:val="20"/>
        </w:rPr>
        <w:t xml:space="preserve">degradation </w:t>
      </w:r>
      <w:r w:rsidR="00DF0469">
        <w:rPr>
          <w:sz w:val="20"/>
          <w:szCs w:val="20"/>
        </w:rPr>
        <w:t>by using</w:t>
      </w:r>
      <w:r w:rsidR="007D1AC9">
        <w:rPr>
          <w:sz w:val="20"/>
          <w:szCs w:val="20"/>
        </w:rPr>
        <w:t xml:space="preserve"> single </w:t>
      </w:r>
      <w:proofErr w:type="spellStart"/>
      <w:r w:rsidR="007D1AC9">
        <w:rPr>
          <w:sz w:val="20"/>
          <w:szCs w:val="20"/>
        </w:rPr>
        <w:t>Tx</w:t>
      </w:r>
      <w:proofErr w:type="spellEnd"/>
      <w:r w:rsidR="007D1AC9">
        <w:rPr>
          <w:sz w:val="20"/>
          <w:szCs w:val="20"/>
        </w:rPr>
        <w:t xml:space="preserve"> switched UL,</w:t>
      </w:r>
      <w:r w:rsidR="00DF0469">
        <w:rPr>
          <w:sz w:val="20"/>
          <w:szCs w:val="20"/>
        </w:rPr>
        <w:t xml:space="preserve"> we</w:t>
      </w:r>
      <w:r w:rsidR="007D1AC9">
        <w:rPr>
          <w:sz w:val="20"/>
          <w:szCs w:val="20"/>
        </w:rPr>
        <w:t xml:space="preserve"> also</w:t>
      </w:r>
      <w:r w:rsidR="00DF0469">
        <w:rPr>
          <w:sz w:val="20"/>
          <w:szCs w:val="20"/>
        </w:rPr>
        <w:t xml:space="preserve"> briefly compare the UL throughput</w:t>
      </w:r>
      <w:r w:rsidR="00066994">
        <w:rPr>
          <w:sz w:val="20"/>
          <w:szCs w:val="20"/>
        </w:rPr>
        <w:t xml:space="preserve"> of single </w:t>
      </w:r>
      <w:proofErr w:type="spellStart"/>
      <w:r w:rsidR="00066994">
        <w:rPr>
          <w:sz w:val="20"/>
          <w:szCs w:val="20"/>
        </w:rPr>
        <w:t>Tx</w:t>
      </w:r>
      <w:proofErr w:type="spellEnd"/>
      <w:r w:rsidR="00066994">
        <w:rPr>
          <w:sz w:val="20"/>
          <w:szCs w:val="20"/>
        </w:rPr>
        <w:t xml:space="preserve"> switched UL vs DL in typical NSA deployment scenarios.</w:t>
      </w:r>
    </w:p>
    <w:p w14:paraId="240EEE6A" w14:textId="7E8FDED2" w:rsidR="00066994" w:rsidRDefault="00D02B70" w:rsidP="00066994">
      <w:pPr>
        <w:pStyle w:val="Heading1"/>
      </w:pPr>
      <w:r>
        <w:t>LTE UL</w:t>
      </w:r>
      <w:r w:rsidR="00DD267E">
        <w:t xml:space="preserve"> HARQ Timing for Single </w:t>
      </w:r>
      <w:proofErr w:type="spellStart"/>
      <w:r w:rsidR="00DD267E">
        <w:t>Tx</w:t>
      </w:r>
      <w:proofErr w:type="spellEnd"/>
      <w:r w:rsidR="00DD267E">
        <w:t xml:space="preserve"> Switched UL</w:t>
      </w:r>
    </w:p>
    <w:p w14:paraId="110B22C5" w14:textId="77777777" w:rsidR="001622D5" w:rsidRPr="00C65EFC" w:rsidRDefault="001622D5" w:rsidP="001622D5">
      <w:pPr>
        <w:jc w:val="both"/>
        <w:rPr>
          <w:sz w:val="20"/>
          <w:szCs w:val="20"/>
        </w:rPr>
      </w:pPr>
      <w:r w:rsidRPr="00C65EFC">
        <w:rPr>
          <w:sz w:val="20"/>
          <w:szCs w:val="20"/>
        </w:rPr>
        <w:t>Specifically, an agreement was made in RAN1 #89</w:t>
      </w:r>
      <w:r w:rsidR="00FB524B" w:rsidRPr="00C65EFC">
        <w:rPr>
          <w:sz w:val="20"/>
          <w:szCs w:val="20"/>
        </w:rPr>
        <w:t xml:space="preserve"> </w:t>
      </w:r>
      <w:r w:rsidR="00FB524B" w:rsidRPr="00C65EFC">
        <w:rPr>
          <w:sz w:val="20"/>
          <w:szCs w:val="20"/>
        </w:rPr>
        <w:fldChar w:fldCharType="begin"/>
      </w:r>
      <w:r w:rsidR="00FB524B" w:rsidRPr="00C65EFC">
        <w:rPr>
          <w:sz w:val="20"/>
          <w:szCs w:val="20"/>
        </w:rPr>
        <w:instrText xml:space="preserve"> REF _Ref490127777 \n \h </w:instrText>
      </w:r>
      <w:r w:rsidR="00C65EFC">
        <w:rPr>
          <w:sz w:val="20"/>
          <w:szCs w:val="20"/>
        </w:rPr>
        <w:instrText xml:space="preserve"> \* MERGEFORMAT </w:instrText>
      </w:r>
      <w:r w:rsidR="00FB524B" w:rsidRPr="00C65EFC">
        <w:rPr>
          <w:sz w:val="20"/>
          <w:szCs w:val="20"/>
        </w:rPr>
      </w:r>
      <w:r w:rsidR="00FB524B" w:rsidRPr="00C65EFC">
        <w:rPr>
          <w:sz w:val="20"/>
          <w:szCs w:val="20"/>
        </w:rPr>
        <w:fldChar w:fldCharType="separate"/>
      </w:r>
      <w:r w:rsidR="00CB4A54">
        <w:rPr>
          <w:sz w:val="20"/>
          <w:szCs w:val="20"/>
        </w:rPr>
        <w:t>[7]</w:t>
      </w:r>
      <w:r w:rsidR="00FB524B" w:rsidRPr="00C65EFC">
        <w:rPr>
          <w:sz w:val="20"/>
          <w:szCs w:val="20"/>
        </w:rPr>
        <w:fldChar w:fldCharType="end"/>
      </w:r>
      <w:r w:rsidR="00FB524B" w:rsidRPr="00C65EFC">
        <w:rPr>
          <w:sz w:val="20"/>
          <w:szCs w:val="20"/>
        </w:rPr>
        <w:t xml:space="preserve"> </w:t>
      </w:r>
      <w:r w:rsidRPr="00C65EFC">
        <w:rPr>
          <w:sz w:val="20"/>
          <w:szCs w:val="20"/>
        </w:rPr>
        <w:t xml:space="preserve">to support an </w:t>
      </w:r>
      <w:r w:rsidRPr="00C65EFC">
        <w:rPr>
          <w:i/>
          <w:sz w:val="20"/>
          <w:szCs w:val="20"/>
        </w:rPr>
        <w:t>optional</w:t>
      </w:r>
      <w:r w:rsidRPr="00C65EFC">
        <w:rPr>
          <w:sz w:val="20"/>
          <w:szCs w:val="20"/>
        </w:rPr>
        <w:t xml:space="preserve"> mode so that network can configure the NSA mode UE to </w:t>
      </w:r>
      <w:r w:rsidRPr="00C65EFC">
        <w:rPr>
          <w:i/>
          <w:sz w:val="20"/>
          <w:szCs w:val="20"/>
          <w:u w:val="single"/>
        </w:rPr>
        <w:t>avoid simultaneously transmitting on two carriers</w:t>
      </w:r>
      <w:r w:rsidRPr="00C65EFC">
        <w:rPr>
          <w:sz w:val="20"/>
          <w:szCs w:val="20"/>
        </w:rPr>
        <w:t xml:space="preserve"> </w:t>
      </w:r>
      <w:r w:rsidRPr="00C65EFC">
        <w:rPr>
          <w:i/>
          <w:sz w:val="20"/>
          <w:szCs w:val="20"/>
        </w:rPr>
        <w:t>when such self-interference exists</w:t>
      </w:r>
      <w:r w:rsidRPr="00C65EFC">
        <w:rPr>
          <w:sz w:val="20"/>
          <w:szCs w:val="20"/>
        </w:rPr>
        <w:t>:</w:t>
      </w:r>
    </w:p>
    <w:p w14:paraId="734186FA" w14:textId="77777777" w:rsidR="008840EF" w:rsidRPr="00C65EFC" w:rsidRDefault="008840EF" w:rsidP="001622D5">
      <w:pPr>
        <w:jc w:val="both"/>
        <w:rPr>
          <w:sz w:val="20"/>
          <w:szCs w:val="20"/>
        </w:rPr>
      </w:pPr>
    </w:p>
    <w:p w14:paraId="33E4137E" w14:textId="77777777" w:rsidR="001622D5" w:rsidRPr="00C65EFC" w:rsidRDefault="001622D5" w:rsidP="001622D5">
      <w:pPr>
        <w:rPr>
          <w:sz w:val="20"/>
          <w:szCs w:val="20"/>
        </w:rPr>
      </w:pPr>
      <w:r w:rsidRPr="00C65EFC">
        <w:rPr>
          <w:sz w:val="20"/>
          <w:szCs w:val="20"/>
          <w:highlight w:val="green"/>
        </w:rPr>
        <w:t>Agreements</w:t>
      </w:r>
      <w:r w:rsidRPr="00C65EFC">
        <w:rPr>
          <w:sz w:val="20"/>
          <w:szCs w:val="20"/>
        </w:rPr>
        <w:t>:</w:t>
      </w:r>
    </w:p>
    <w:p w14:paraId="4FCC8730" w14:textId="77777777" w:rsidR="001622D5" w:rsidRPr="00C65EFC" w:rsidRDefault="001622D5" w:rsidP="001622D5">
      <w:pPr>
        <w:numPr>
          <w:ilvl w:val="0"/>
          <w:numId w:val="31"/>
        </w:numPr>
        <w:rPr>
          <w:rFonts w:eastAsia="ＭＳ 明朝"/>
          <w:sz w:val="20"/>
          <w:szCs w:val="20"/>
          <w:lang w:eastAsia="ja-JP"/>
        </w:rPr>
      </w:pPr>
      <w:r w:rsidRPr="00C65EFC">
        <w:rPr>
          <w:rFonts w:eastAsia="ＭＳ 明朝"/>
          <w:sz w:val="20"/>
          <w:szCs w:val="20"/>
          <w:lang w:eastAsia="ja-JP"/>
        </w:rPr>
        <w:lastRenderedPageBreak/>
        <w:t>For NR NSA for a UE, NR supports 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p>
    <w:p w14:paraId="746B220A" w14:textId="77777777" w:rsidR="001622D5" w:rsidRPr="00C65EFC" w:rsidRDefault="001622D5" w:rsidP="001622D5">
      <w:pPr>
        <w:numPr>
          <w:ilvl w:val="1"/>
          <w:numId w:val="31"/>
        </w:numPr>
        <w:rPr>
          <w:rFonts w:eastAsia="ＭＳ 明朝"/>
          <w:sz w:val="20"/>
          <w:szCs w:val="20"/>
          <w:lang w:eastAsia="ja-JP"/>
        </w:rPr>
      </w:pPr>
      <w:r w:rsidRPr="00C65EFC">
        <w:rPr>
          <w:rFonts w:eastAsia="ＭＳ 明朝"/>
          <w:sz w:val="20"/>
          <w:szCs w:val="20"/>
          <w:lang w:eastAsia="ja-JP"/>
        </w:rPr>
        <w:t>FFS whether or not there is specification impact</w:t>
      </w:r>
    </w:p>
    <w:p w14:paraId="4D05BF29" w14:textId="77777777" w:rsidR="001622D5" w:rsidRPr="00C65EFC" w:rsidRDefault="001622D5" w:rsidP="001622D5">
      <w:pPr>
        <w:numPr>
          <w:ilvl w:val="2"/>
          <w:numId w:val="31"/>
        </w:numPr>
        <w:rPr>
          <w:rFonts w:eastAsia="ＭＳ 明朝"/>
          <w:sz w:val="20"/>
          <w:szCs w:val="20"/>
          <w:lang w:eastAsia="ja-JP"/>
        </w:rPr>
      </w:pPr>
      <w:r w:rsidRPr="00C65EFC">
        <w:rPr>
          <w:rFonts w:eastAsia="ＭＳ 明朝"/>
          <w:sz w:val="20"/>
          <w:szCs w:val="20"/>
          <w:lang w:eastAsia="ja-JP"/>
        </w:rPr>
        <w:t>If there is RAN1 specification impact, aim to minimize the specification impact for NR</w:t>
      </w:r>
    </w:p>
    <w:p w14:paraId="70836687" w14:textId="77777777" w:rsidR="001622D5" w:rsidRPr="00C65EFC" w:rsidRDefault="001622D5" w:rsidP="001622D5">
      <w:pPr>
        <w:numPr>
          <w:ilvl w:val="2"/>
          <w:numId w:val="31"/>
        </w:numPr>
        <w:rPr>
          <w:rFonts w:eastAsia="ＭＳ 明朝"/>
          <w:sz w:val="20"/>
          <w:szCs w:val="20"/>
          <w:lang w:eastAsia="ja-JP"/>
        </w:rPr>
      </w:pPr>
      <w:r w:rsidRPr="00C65EFC">
        <w:rPr>
          <w:rFonts w:eastAsia="ＭＳ 明朝"/>
          <w:sz w:val="20"/>
          <w:szCs w:val="20"/>
          <w:lang w:eastAsia="ja-JP"/>
        </w:rPr>
        <w:t xml:space="preserve">Note: this feature by itself is not intended to have any LTE RAN1 specification impact </w:t>
      </w:r>
    </w:p>
    <w:p w14:paraId="7C0132B0" w14:textId="77777777" w:rsidR="001622D5" w:rsidRPr="00C65EFC" w:rsidRDefault="001622D5" w:rsidP="001622D5">
      <w:pPr>
        <w:numPr>
          <w:ilvl w:val="1"/>
          <w:numId w:val="31"/>
        </w:numPr>
        <w:rPr>
          <w:rFonts w:eastAsia="ＭＳ 明朝"/>
          <w:sz w:val="20"/>
          <w:szCs w:val="20"/>
          <w:lang w:eastAsia="ja-JP"/>
        </w:rPr>
      </w:pPr>
      <w:r w:rsidRPr="00C65EFC">
        <w:rPr>
          <w:rFonts w:eastAsia="ＭＳ 明朝"/>
          <w:sz w:val="20"/>
          <w:szCs w:val="20"/>
          <w:lang w:eastAsia="ja-JP"/>
        </w:rPr>
        <w:t>Note: the other case of allowing simultaneous operation on two or more UL carriers is already agreed to be supported</w:t>
      </w:r>
    </w:p>
    <w:p w14:paraId="55028EA2" w14:textId="77777777" w:rsidR="008D4B3C" w:rsidRPr="00C65EFC" w:rsidRDefault="008D4B3C" w:rsidP="008D4B3C">
      <w:pPr>
        <w:rPr>
          <w:rFonts w:eastAsia="ＭＳ 明朝"/>
          <w:sz w:val="20"/>
          <w:szCs w:val="20"/>
          <w:lang w:eastAsia="ja-JP"/>
        </w:rPr>
      </w:pPr>
    </w:p>
    <w:p w14:paraId="5E26D110" w14:textId="77777777" w:rsidR="008D4B3C" w:rsidRPr="00C65EFC" w:rsidRDefault="00C07ACA" w:rsidP="008D4B3C">
      <w:pPr>
        <w:jc w:val="both"/>
        <w:rPr>
          <w:sz w:val="20"/>
          <w:szCs w:val="20"/>
        </w:rPr>
      </w:pPr>
      <w:r w:rsidRPr="00C65EFC">
        <w:rPr>
          <w:sz w:val="20"/>
          <w:szCs w:val="20"/>
        </w:rPr>
        <w:t>To</w:t>
      </w:r>
      <w:r w:rsidR="008D4B3C" w:rsidRPr="00C65EFC">
        <w:rPr>
          <w:sz w:val="20"/>
          <w:szCs w:val="20"/>
        </w:rPr>
        <w:t xml:space="preserve"> provide specific mechanism/solution to avoid UE simultaneous uplink transm</w:t>
      </w:r>
      <w:r w:rsidR="00F41C49">
        <w:rPr>
          <w:sz w:val="20"/>
          <w:szCs w:val="20"/>
        </w:rPr>
        <w:t>ission, in RAN1 NR</w:t>
      </w:r>
      <w:r w:rsidR="00FB5433" w:rsidRPr="00C65EFC">
        <w:rPr>
          <w:sz w:val="20"/>
          <w:szCs w:val="20"/>
        </w:rPr>
        <w:t>#</w:t>
      </w:r>
      <w:r w:rsidR="00796F14" w:rsidRPr="00C65EFC">
        <w:rPr>
          <w:sz w:val="20"/>
          <w:szCs w:val="20"/>
        </w:rPr>
        <w:t>2 in June, following</w:t>
      </w:r>
      <w:r w:rsidR="008D4B3C" w:rsidRPr="00C65EFC">
        <w:rPr>
          <w:sz w:val="20"/>
          <w:szCs w:val="20"/>
        </w:rPr>
        <w:t xml:space="preserve"> agreement </w:t>
      </w:r>
      <w:r w:rsidR="008D4B3C" w:rsidRPr="00C65EFC">
        <w:rPr>
          <w:sz w:val="20"/>
          <w:szCs w:val="20"/>
        </w:rPr>
        <w:fldChar w:fldCharType="begin"/>
      </w:r>
      <w:r w:rsidR="008D4B3C" w:rsidRPr="00C65EFC">
        <w:rPr>
          <w:sz w:val="20"/>
          <w:szCs w:val="20"/>
        </w:rPr>
        <w:instrText xml:space="preserve"> REF _Ref490130688 \n \h </w:instrText>
      </w:r>
      <w:r w:rsidR="00C65EFC">
        <w:rPr>
          <w:sz w:val="20"/>
          <w:szCs w:val="20"/>
        </w:rPr>
        <w:instrText xml:space="preserve"> \* MERGEFORMAT </w:instrText>
      </w:r>
      <w:r w:rsidR="008D4B3C" w:rsidRPr="00C65EFC">
        <w:rPr>
          <w:sz w:val="20"/>
          <w:szCs w:val="20"/>
        </w:rPr>
      </w:r>
      <w:r w:rsidR="008D4B3C" w:rsidRPr="00C65EFC">
        <w:rPr>
          <w:sz w:val="20"/>
          <w:szCs w:val="20"/>
        </w:rPr>
        <w:fldChar w:fldCharType="separate"/>
      </w:r>
      <w:r w:rsidR="00CB4A54" w:rsidRPr="00CB4A54">
        <w:rPr>
          <w:b/>
          <w:bCs/>
          <w:sz w:val="20"/>
          <w:szCs w:val="20"/>
        </w:rPr>
        <w:t>[</w:t>
      </w:r>
      <w:r w:rsidR="00CB4A54">
        <w:rPr>
          <w:sz w:val="20"/>
          <w:szCs w:val="20"/>
        </w:rPr>
        <w:t>8]</w:t>
      </w:r>
      <w:r w:rsidR="008D4B3C" w:rsidRPr="00C65EFC">
        <w:rPr>
          <w:sz w:val="20"/>
          <w:szCs w:val="20"/>
        </w:rPr>
        <w:fldChar w:fldCharType="end"/>
      </w:r>
      <w:r w:rsidR="008D4B3C" w:rsidRPr="00C65EFC">
        <w:rPr>
          <w:sz w:val="20"/>
          <w:szCs w:val="20"/>
        </w:rPr>
        <w:t xml:space="preserve"> was made to provide </w:t>
      </w:r>
      <w:r w:rsidR="008833F5" w:rsidRPr="00C65EFC">
        <w:rPr>
          <w:sz w:val="20"/>
          <w:szCs w:val="20"/>
        </w:rPr>
        <w:t xml:space="preserve">two </w:t>
      </w:r>
      <w:r w:rsidR="008D4B3C" w:rsidRPr="00C65EFC">
        <w:rPr>
          <w:sz w:val="20"/>
          <w:szCs w:val="20"/>
        </w:rPr>
        <w:t>mechanism</w:t>
      </w:r>
      <w:r w:rsidR="008833F5" w:rsidRPr="00C65EFC">
        <w:rPr>
          <w:sz w:val="20"/>
          <w:szCs w:val="20"/>
        </w:rPr>
        <w:t>s</w:t>
      </w:r>
      <w:r w:rsidR="008D4B3C" w:rsidRPr="00C65EFC">
        <w:rPr>
          <w:sz w:val="20"/>
          <w:szCs w:val="20"/>
        </w:rPr>
        <w:t xml:space="preserve"> for single UL transmission:  </w:t>
      </w:r>
    </w:p>
    <w:p w14:paraId="122F4874" w14:textId="77777777" w:rsidR="008D4B3C" w:rsidRPr="00C65EFC" w:rsidRDefault="008D4B3C" w:rsidP="008D4B3C">
      <w:pPr>
        <w:jc w:val="both"/>
        <w:rPr>
          <w:sz w:val="20"/>
          <w:szCs w:val="20"/>
        </w:rPr>
      </w:pPr>
    </w:p>
    <w:p w14:paraId="3AFB445C" w14:textId="77777777" w:rsidR="002710A9" w:rsidRPr="00C65EFC" w:rsidRDefault="002710A9" w:rsidP="002710A9">
      <w:pPr>
        <w:pStyle w:val="ListParagraph"/>
        <w:spacing w:afterLines="50" w:after="120"/>
        <w:ind w:hanging="720"/>
        <w:jc w:val="both"/>
        <w:rPr>
          <w:rFonts w:ascii="Times New Roman" w:eastAsia="Times New Roman" w:hAnsi="Times New Roman"/>
          <w:sz w:val="20"/>
          <w:szCs w:val="20"/>
        </w:rPr>
      </w:pPr>
      <w:r w:rsidRPr="00C65EFC">
        <w:rPr>
          <w:rFonts w:ascii="Times New Roman" w:eastAsia="Times New Roman" w:hAnsi="Times New Roman"/>
          <w:sz w:val="20"/>
          <w:szCs w:val="20"/>
          <w:highlight w:val="green"/>
        </w:rPr>
        <w:t>Agreements</w:t>
      </w:r>
      <w:r w:rsidRPr="00C65EFC">
        <w:rPr>
          <w:rFonts w:ascii="Times New Roman" w:eastAsia="Times New Roman" w:hAnsi="Times New Roman"/>
          <w:sz w:val="20"/>
          <w:szCs w:val="20"/>
        </w:rPr>
        <w:t>:</w:t>
      </w:r>
    </w:p>
    <w:p w14:paraId="547A5C6E" w14:textId="77777777" w:rsidR="002710A9" w:rsidRPr="00C65EFC" w:rsidRDefault="002710A9" w:rsidP="002710A9">
      <w:pPr>
        <w:pStyle w:val="ListParagraph"/>
        <w:numPr>
          <w:ilvl w:val="0"/>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 xml:space="preserve">Support the following solution to single UL transmission where NW synchronization between </w:t>
      </w:r>
      <w:proofErr w:type="spellStart"/>
      <w:r w:rsidRPr="00C65EFC">
        <w:rPr>
          <w:rFonts w:ascii="Times New Roman" w:hAnsi="Times New Roman"/>
          <w:sz w:val="20"/>
          <w:szCs w:val="20"/>
        </w:rPr>
        <w:t>eNodeB</w:t>
      </w:r>
      <w:proofErr w:type="spellEnd"/>
      <w:r w:rsidRPr="00C65EFC">
        <w:rPr>
          <w:rFonts w:ascii="Times New Roman" w:hAnsi="Times New Roman"/>
          <w:sz w:val="20"/>
          <w:szCs w:val="20"/>
        </w:rPr>
        <w:t xml:space="preserve"> and </w:t>
      </w:r>
      <w:proofErr w:type="spellStart"/>
      <w:r w:rsidRPr="00C65EFC">
        <w:rPr>
          <w:rFonts w:ascii="Times New Roman" w:hAnsi="Times New Roman"/>
          <w:sz w:val="20"/>
          <w:szCs w:val="20"/>
        </w:rPr>
        <w:t>gNodeB</w:t>
      </w:r>
      <w:proofErr w:type="spellEnd"/>
      <w:r w:rsidRPr="00C65EFC">
        <w:rPr>
          <w:rFonts w:ascii="Times New Roman" w:hAnsi="Times New Roman"/>
          <w:sz w:val="20"/>
          <w:szCs w:val="20"/>
        </w:rPr>
        <w:t xml:space="preserve"> is assumed (where there is at least one LTE carrier and at least one NR carrier of a different carrier frequency)</w:t>
      </w:r>
    </w:p>
    <w:p w14:paraId="7538CE16" w14:textId="77777777" w:rsidR="002710A9" w:rsidRPr="00C65EFC" w:rsidRDefault="002710A9" w:rsidP="002710A9">
      <w:pPr>
        <w:pStyle w:val="ListParagraph"/>
        <w:numPr>
          <w:ilvl w:val="1"/>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When UE is activated with multiple UL carriers on different frequencies, time-switching of LTE UL carrier and NR UL carrier is used</w:t>
      </w:r>
    </w:p>
    <w:p w14:paraId="1F4711F0" w14:textId="77777777" w:rsidR="002710A9" w:rsidRPr="00C65EFC" w:rsidRDefault="002710A9" w:rsidP="002710A9">
      <w:pPr>
        <w:pStyle w:val="ListParagraph"/>
        <w:numPr>
          <w:ilvl w:val="2"/>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 xml:space="preserve">UL transmission timing pattern of LTE carrier and NR carrier is </w:t>
      </w:r>
      <w:r w:rsidRPr="00C65EFC">
        <w:rPr>
          <w:rFonts w:ascii="Times New Roman" w:hAnsi="Times New Roman"/>
          <w:i/>
          <w:sz w:val="20"/>
          <w:szCs w:val="20"/>
          <w:u w:val="single"/>
        </w:rPr>
        <w:t>semi-statically</w:t>
      </w:r>
      <w:r w:rsidRPr="00C65EFC">
        <w:rPr>
          <w:rFonts w:ascii="Times New Roman" w:hAnsi="Times New Roman"/>
          <w:sz w:val="20"/>
          <w:szCs w:val="20"/>
        </w:rPr>
        <w:t xml:space="preserve"> shared between </w:t>
      </w:r>
      <w:proofErr w:type="spellStart"/>
      <w:r w:rsidRPr="00C65EFC">
        <w:rPr>
          <w:rFonts w:ascii="Times New Roman" w:hAnsi="Times New Roman"/>
          <w:sz w:val="20"/>
          <w:szCs w:val="20"/>
        </w:rPr>
        <w:t>eNodeB</w:t>
      </w:r>
      <w:proofErr w:type="spellEnd"/>
      <w:r w:rsidRPr="00C65EFC">
        <w:rPr>
          <w:rFonts w:ascii="Times New Roman" w:hAnsi="Times New Roman"/>
          <w:sz w:val="20"/>
          <w:szCs w:val="20"/>
        </w:rPr>
        <w:t xml:space="preserve"> and </w:t>
      </w:r>
      <w:proofErr w:type="spellStart"/>
      <w:r w:rsidRPr="00C65EFC">
        <w:rPr>
          <w:rFonts w:ascii="Times New Roman" w:hAnsi="Times New Roman"/>
          <w:sz w:val="20"/>
          <w:szCs w:val="20"/>
        </w:rPr>
        <w:t>gNodeB</w:t>
      </w:r>
      <w:proofErr w:type="spellEnd"/>
      <w:r w:rsidRPr="00C65EFC">
        <w:rPr>
          <w:rFonts w:ascii="Times New Roman" w:hAnsi="Times New Roman"/>
          <w:sz w:val="20"/>
          <w:szCs w:val="20"/>
        </w:rPr>
        <w:t xml:space="preserve"> </w:t>
      </w:r>
    </w:p>
    <w:p w14:paraId="0487E60E" w14:textId="77777777" w:rsidR="002710A9" w:rsidRPr="00C65EFC" w:rsidRDefault="002710A9" w:rsidP="002710A9">
      <w:pPr>
        <w:pStyle w:val="ListParagraph"/>
        <w:numPr>
          <w:ilvl w:val="2"/>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FFS: Signaling to UE of UL transmission timing pattern</w:t>
      </w:r>
    </w:p>
    <w:p w14:paraId="6C914D99" w14:textId="77777777" w:rsidR="002710A9" w:rsidRPr="00C65EFC" w:rsidRDefault="002710A9" w:rsidP="002710A9">
      <w:pPr>
        <w:pStyle w:val="ListParagraph"/>
        <w:numPr>
          <w:ilvl w:val="1"/>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UE simultaneously receives signals/channels from both NR DL carrier and LTE DL carrier</w:t>
      </w:r>
    </w:p>
    <w:p w14:paraId="1D5ACE5C" w14:textId="77777777" w:rsidR="002710A9" w:rsidRPr="00C65EFC" w:rsidRDefault="002710A9" w:rsidP="002710A9">
      <w:pPr>
        <w:pStyle w:val="ListParagraph"/>
        <w:numPr>
          <w:ilvl w:val="2"/>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For scheduling/HARQ timing of LTE FDD carrier, the following timing can be considered, e.g., for LTE:</w:t>
      </w:r>
    </w:p>
    <w:p w14:paraId="3FAB68ED" w14:textId="77777777" w:rsidR="002710A9" w:rsidRPr="00C65EFC" w:rsidRDefault="002710A9" w:rsidP="002710A9">
      <w:pPr>
        <w:pStyle w:val="ListParagraph"/>
        <w:numPr>
          <w:ilvl w:val="3"/>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DL-reference UL/DL configuration for TDD</w:t>
      </w:r>
    </w:p>
    <w:p w14:paraId="2DE52D35" w14:textId="77777777" w:rsidR="002710A9" w:rsidRPr="00C65EFC" w:rsidRDefault="002710A9" w:rsidP="002710A9">
      <w:pPr>
        <w:pStyle w:val="ListParagraph"/>
        <w:numPr>
          <w:ilvl w:val="3"/>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DL-reference UL/DL configuration defined for FDD-</w:t>
      </w:r>
      <w:proofErr w:type="spellStart"/>
      <w:r w:rsidRPr="00C65EFC">
        <w:rPr>
          <w:rFonts w:ascii="Times New Roman" w:hAnsi="Times New Roman"/>
          <w:sz w:val="20"/>
          <w:szCs w:val="20"/>
        </w:rPr>
        <w:t>SCell</w:t>
      </w:r>
      <w:proofErr w:type="spellEnd"/>
      <w:r w:rsidRPr="00C65EFC">
        <w:rPr>
          <w:rFonts w:ascii="Times New Roman" w:hAnsi="Times New Roman"/>
          <w:sz w:val="20"/>
          <w:szCs w:val="20"/>
        </w:rPr>
        <w:t xml:space="preserve"> in TDD-FDD CA with TDD-</w:t>
      </w:r>
      <w:proofErr w:type="spellStart"/>
      <w:r w:rsidRPr="00C65EFC">
        <w:rPr>
          <w:rFonts w:ascii="Times New Roman" w:hAnsi="Times New Roman"/>
          <w:sz w:val="20"/>
          <w:szCs w:val="20"/>
        </w:rPr>
        <w:t>PCell</w:t>
      </w:r>
      <w:proofErr w:type="spellEnd"/>
    </w:p>
    <w:p w14:paraId="4C040D50" w14:textId="77777777" w:rsidR="002710A9" w:rsidRPr="00C65EFC" w:rsidRDefault="002710A9" w:rsidP="002710A9">
      <w:pPr>
        <w:pStyle w:val="ListParagraph"/>
        <w:numPr>
          <w:ilvl w:val="3"/>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Up to NW implementation (i.e., no RAN1 spec. impact)</w:t>
      </w:r>
    </w:p>
    <w:p w14:paraId="527FA5B4" w14:textId="77777777" w:rsidR="002710A9" w:rsidRPr="00C65EFC" w:rsidRDefault="002710A9" w:rsidP="002710A9">
      <w:pPr>
        <w:pStyle w:val="ListParagraph"/>
        <w:numPr>
          <w:ilvl w:val="2"/>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 xml:space="preserve">For scheduling/HARQ timing of NR carrier, no special handling would be necessary </w:t>
      </w:r>
    </w:p>
    <w:p w14:paraId="0604DCF6" w14:textId="77777777" w:rsidR="002710A9" w:rsidRPr="00C65EFC" w:rsidRDefault="002710A9" w:rsidP="002710A9">
      <w:pPr>
        <w:pStyle w:val="ListParagraph"/>
        <w:numPr>
          <w:ilvl w:val="1"/>
          <w:numId w:val="34"/>
        </w:numPr>
        <w:overflowPunct w:val="0"/>
        <w:autoSpaceDE w:val="0"/>
        <w:autoSpaceDN w:val="0"/>
        <w:adjustRightInd w:val="0"/>
        <w:spacing w:after="180"/>
        <w:contextualSpacing/>
        <w:textAlignment w:val="baseline"/>
        <w:rPr>
          <w:rFonts w:ascii="Times New Roman" w:hAnsi="Times New Roman"/>
          <w:sz w:val="20"/>
          <w:szCs w:val="20"/>
        </w:rPr>
      </w:pPr>
      <w:r w:rsidRPr="00C65EFC">
        <w:rPr>
          <w:rFonts w:ascii="Times New Roman" w:hAnsi="Times New Roman"/>
          <w:sz w:val="20"/>
          <w:szCs w:val="20"/>
        </w:rPr>
        <w:t>Other solutions are not precluded</w:t>
      </w:r>
    </w:p>
    <w:p w14:paraId="039D726F" w14:textId="77777777" w:rsidR="002710A9" w:rsidRPr="00C65EFC" w:rsidRDefault="002710A9" w:rsidP="002710A9">
      <w:pPr>
        <w:jc w:val="both"/>
        <w:rPr>
          <w:sz w:val="20"/>
          <w:szCs w:val="20"/>
        </w:rPr>
      </w:pPr>
      <w:r w:rsidRPr="00C65EFC">
        <w:rPr>
          <w:sz w:val="20"/>
          <w:szCs w:val="20"/>
        </w:rPr>
        <w:t>In RAN1#90 in August</w:t>
      </w:r>
      <w:r w:rsidR="00084D9F" w:rsidRPr="00C65EFC">
        <w:rPr>
          <w:sz w:val="20"/>
          <w:szCs w:val="20"/>
        </w:rPr>
        <w:t xml:space="preserve"> </w:t>
      </w:r>
      <w:r w:rsidR="00084D9F" w:rsidRPr="00C65EFC">
        <w:rPr>
          <w:sz w:val="20"/>
          <w:szCs w:val="20"/>
        </w:rPr>
        <w:fldChar w:fldCharType="begin"/>
      </w:r>
      <w:r w:rsidR="00084D9F" w:rsidRPr="00C65EFC">
        <w:rPr>
          <w:sz w:val="20"/>
          <w:szCs w:val="20"/>
        </w:rPr>
        <w:instrText xml:space="preserve"> REF _Ref494204078 \n \h </w:instrText>
      </w:r>
      <w:r w:rsidR="00C65EFC">
        <w:rPr>
          <w:sz w:val="20"/>
          <w:szCs w:val="20"/>
        </w:rPr>
        <w:instrText xml:space="preserve"> \* MERGEFORMAT </w:instrText>
      </w:r>
      <w:r w:rsidR="00084D9F" w:rsidRPr="00C65EFC">
        <w:rPr>
          <w:sz w:val="20"/>
          <w:szCs w:val="20"/>
        </w:rPr>
      </w:r>
      <w:r w:rsidR="00084D9F" w:rsidRPr="00C65EFC">
        <w:rPr>
          <w:sz w:val="20"/>
          <w:szCs w:val="20"/>
        </w:rPr>
        <w:fldChar w:fldCharType="separate"/>
      </w:r>
      <w:r w:rsidR="00CB4A54">
        <w:rPr>
          <w:sz w:val="20"/>
          <w:szCs w:val="20"/>
        </w:rPr>
        <w:t>[9]</w:t>
      </w:r>
      <w:r w:rsidR="00084D9F" w:rsidRPr="00C65EFC">
        <w:rPr>
          <w:sz w:val="20"/>
          <w:szCs w:val="20"/>
        </w:rPr>
        <w:fldChar w:fldCharType="end"/>
      </w:r>
      <w:r w:rsidRPr="00C65EFC">
        <w:rPr>
          <w:sz w:val="20"/>
          <w:szCs w:val="20"/>
        </w:rPr>
        <w:t>, specific TDM patterns were selected and further agreed:</w:t>
      </w:r>
    </w:p>
    <w:p w14:paraId="4A3BAE1E" w14:textId="77777777" w:rsidR="003D761D" w:rsidRPr="00C65EFC" w:rsidRDefault="003D761D" w:rsidP="002710A9">
      <w:pPr>
        <w:jc w:val="both"/>
        <w:rPr>
          <w:sz w:val="20"/>
          <w:szCs w:val="20"/>
        </w:rPr>
      </w:pPr>
    </w:p>
    <w:p w14:paraId="6E938BAA" w14:textId="77777777" w:rsidR="002710A9" w:rsidRPr="00C65EFC" w:rsidRDefault="002710A9" w:rsidP="002710A9">
      <w:pPr>
        <w:rPr>
          <w:rFonts w:eastAsia="ＭＳ 明朝"/>
          <w:sz w:val="20"/>
          <w:szCs w:val="20"/>
          <w:highlight w:val="darkYellow"/>
          <w:lang w:eastAsia="ja-JP"/>
        </w:rPr>
      </w:pPr>
      <w:r w:rsidRPr="00C65EFC">
        <w:rPr>
          <w:rFonts w:eastAsia="ＭＳ 明朝"/>
          <w:sz w:val="20"/>
          <w:szCs w:val="20"/>
          <w:highlight w:val="green"/>
          <w:lang w:eastAsia="ja-JP"/>
        </w:rPr>
        <w:t>Agreements</w:t>
      </w:r>
      <w:r w:rsidRPr="00C65EFC">
        <w:rPr>
          <w:rFonts w:eastAsia="ＭＳ 明朝"/>
          <w:sz w:val="20"/>
          <w:szCs w:val="20"/>
          <w:lang w:eastAsia="ja-JP"/>
        </w:rPr>
        <w:t>:</w:t>
      </w:r>
    </w:p>
    <w:p w14:paraId="2D61DFA3" w14:textId="77777777" w:rsidR="002710A9" w:rsidRPr="00C65EFC" w:rsidRDefault="002710A9" w:rsidP="002710A9">
      <w:pPr>
        <w:numPr>
          <w:ilvl w:val="0"/>
          <w:numId w:val="35"/>
        </w:numPr>
        <w:tabs>
          <w:tab w:val="left" w:pos="1440"/>
        </w:tabs>
        <w:rPr>
          <w:rFonts w:eastAsia="ＭＳ 明朝"/>
          <w:sz w:val="20"/>
          <w:szCs w:val="20"/>
          <w:lang w:eastAsia="ja-JP"/>
        </w:rPr>
      </w:pPr>
      <w:r w:rsidRPr="00C65EFC">
        <w:rPr>
          <w:rFonts w:eastAsia="ＭＳ 明朝"/>
          <w:sz w:val="20"/>
          <w:szCs w:val="20"/>
          <w:lang w:eastAsia="ja-JP"/>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1ECD32D4" w14:textId="77777777" w:rsidR="002710A9" w:rsidRPr="00C65EFC" w:rsidRDefault="002710A9" w:rsidP="002710A9">
      <w:pPr>
        <w:numPr>
          <w:ilvl w:val="1"/>
          <w:numId w:val="35"/>
        </w:numPr>
        <w:rPr>
          <w:rFonts w:eastAsia="ＭＳ 明朝"/>
          <w:sz w:val="20"/>
          <w:szCs w:val="20"/>
          <w:lang w:eastAsia="ja-JP"/>
        </w:rPr>
      </w:pPr>
      <w:r w:rsidRPr="00C65EFC">
        <w:rPr>
          <w:rFonts w:eastAsia="ＭＳ 明朝" w:hint="eastAsia"/>
          <w:sz w:val="20"/>
          <w:szCs w:val="20"/>
          <w:lang w:eastAsia="ja-JP"/>
        </w:rPr>
        <w:t xml:space="preserve">For LTE carrier, </w:t>
      </w:r>
      <w:r w:rsidRPr="00C65EFC">
        <w:rPr>
          <w:rFonts w:eastAsia="ＭＳ 明朝"/>
          <w:sz w:val="20"/>
          <w:szCs w:val="20"/>
          <w:lang w:eastAsia="ja-JP"/>
        </w:rPr>
        <w:t xml:space="preserve">UE can be configured with </w:t>
      </w:r>
    </w:p>
    <w:p w14:paraId="4123B4D9" w14:textId="77777777" w:rsidR="002710A9" w:rsidRPr="00C65EFC" w:rsidRDefault="002710A9" w:rsidP="002710A9">
      <w:pPr>
        <w:numPr>
          <w:ilvl w:val="2"/>
          <w:numId w:val="35"/>
        </w:numPr>
        <w:tabs>
          <w:tab w:val="left" w:pos="1440"/>
        </w:tabs>
        <w:rPr>
          <w:rFonts w:eastAsia="ＭＳ 明朝"/>
          <w:sz w:val="20"/>
          <w:szCs w:val="20"/>
          <w:lang w:eastAsia="ja-JP"/>
        </w:rPr>
      </w:pPr>
      <w:r w:rsidRPr="00193DCE">
        <w:rPr>
          <w:rFonts w:eastAsia="ＭＳ 明朝"/>
          <w:sz w:val="20"/>
          <w:szCs w:val="20"/>
          <w:highlight w:val="yellow"/>
          <w:lang w:eastAsia="ja-JP"/>
        </w:rPr>
        <w:t>Case 1</w:t>
      </w:r>
      <w:r w:rsidRPr="00C65EFC">
        <w:rPr>
          <w:rFonts w:eastAsia="ＭＳ 明朝"/>
          <w:sz w:val="20"/>
          <w:szCs w:val="20"/>
          <w:lang w:eastAsia="ja-JP"/>
        </w:rPr>
        <w:t>: DL-reference UL/DL configuration defined for LTE-FDD-</w:t>
      </w:r>
      <w:proofErr w:type="spellStart"/>
      <w:r w:rsidRPr="00C65EFC">
        <w:rPr>
          <w:rFonts w:eastAsia="ＭＳ 明朝"/>
          <w:sz w:val="20"/>
          <w:szCs w:val="20"/>
          <w:lang w:eastAsia="ja-JP"/>
        </w:rPr>
        <w:t>SCell</w:t>
      </w:r>
      <w:proofErr w:type="spellEnd"/>
      <w:r w:rsidRPr="00C65EFC">
        <w:rPr>
          <w:rFonts w:eastAsia="ＭＳ 明朝"/>
          <w:sz w:val="20"/>
          <w:szCs w:val="20"/>
          <w:lang w:eastAsia="ja-JP"/>
        </w:rPr>
        <w:t xml:space="preserve"> in LTE-TDD-FDD CA with LTE-TDD-</w:t>
      </w:r>
      <w:proofErr w:type="spellStart"/>
      <w:r w:rsidRPr="00C65EFC">
        <w:rPr>
          <w:rFonts w:eastAsia="ＭＳ 明朝"/>
          <w:sz w:val="20"/>
          <w:szCs w:val="20"/>
          <w:lang w:eastAsia="ja-JP"/>
        </w:rPr>
        <w:t>PCell</w:t>
      </w:r>
      <w:proofErr w:type="spellEnd"/>
      <w:r w:rsidRPr="00C65EFC">
        <w:rPr>
          <w:rFonts w:eastAsia="ＭＳ 明朝"/>
          <w:sz w:val="20"/>
          <w:szCs w:val="20"/>
          <w:lang w:eastAsia="ja-JP"/>
        </w:rPr>
        <w:t xml:space="preserve"> </w:t>
      </w:r>
    </w:p>
    <w:p w14:paraId="11DDCDC3" w14:textId="77777777" w:rsidR="002710A9" w:rsidRPr="00C65EFC" w:rsidRDefault="002710A9" w:rsidP="002710A9">
      <w:pPr>
        <w:numPr>
          <w:ilvl w:val="3"/>
          <w:numId w:val="35"/>
        </w:numPr>
        <w:tabs>
          <w:tab w:val="left" w:pos="1440"/>
        </w:tabs>
        <w:rPr>
          <w:rFonts w:eastAsia="ＭＳ 明朝"/>
          <w:sz w:val="20"/>
          <w:szCs w:val="20"/>
          <w:lang w:eastAsia="ja-JP"/>
        </w:rPr>
      </w:pPr>
      <w:r w:rsidRPr="00C65EFC">
        <w:rPr>
          <w:rFonts w:eastAsia="ＭＳ 明朝"/>
          <w:sz w:val="20"/>
          <w:szCs w:val="20"/>
          <w:lang w:eastAsia="ja-JP"/>
        </w:rPr>
        <w:t>For scheduling/HARQ timing of LTE FDD carrier, DL-reference UL/DL configuration defined for LTE-FDD-</w:t>
      </w:r>
      <w:proofErr w:type="spellStart"/>
      <w:r w:rsidRPr="00C65EFC">
        <w:rPr>
          <w:rFonts w:eastAsia="ＭＳ 明朝"/>
          <w:sz w:val="20"/>
          <w:szCs w:val="20"/>
          <w:lang w:eastAsia="ja-JP"/>
        </w:rPr>
        <w:t>SCell</w:t>
      </w:r>
      <w:proofErr w:type="spellEnd"/>
      <w:r w:rsidRPr="00C65EFC">
        <w:rPr>
          <w:rFonts w:eastAsia="ＭＳ 明朝"/>
          <w:sz w:val="20"/>
          <w:szCs w:val="20"/>
          <w:lang w:eastAsia="ja-JP"/>
        </w:rPr>
        <w:t xml:space="preserve"> in LTE-TDD-FDD CA with LTE-TDD-</w:t>
      </w:r>
      <w:proofErr w:type="spellStart"/>
      <w:r w:rsidRPr="00C65EFC">
        <w:rPr>
          <w:rFonts w:eastAsia="ＭＳ 明朝"/>
          <w:sz w:val="20"/>
          <w:szCs w:val="20"/>
          <w:lang w:eastAsia="ja-JP"/>
        </w:rPr>
        <w:t>PCell</w:t>
      </w:r>
      <w:proofErr w:type="spellEnd"/>
      <w:r w:rsidRPr="00C65EFC">
        <w:rPr>
          <w:rFonts w:eastAsia="ＭＳ 明朝"/>
          <w:sz w:val="20"/>
          <w:szCs w:val="20"/>
          <w:lang w:eastAsia="ja-JP"/>
        </w:rPr>
        <w:t xml:space="preserve"> is applied</w:t>
      </w:r>
    </w:p>
    <w:p w14:paraId="052B7F05" w14:textId="77777777" w:rsidR="002710A9" w:rsidRPr="00C65EFC" w:rsidRDefault="002710A9" w:rsidP="002710A9">
      <w:pPr>
        <w:numPr>
          <w:ilvl w:val="3"/>
          <w:numId w:val="35"/>
        </w:numPr>
        <w:tabs>
          <w:tab w:val="left" w:pos="1440"/>
        </w:tabs>
        <w:rPr>
          <w:rFonts w:eastAsia="ＭＳ 明朝"/>
          <w:sz w:val="20"/>
          <w:szCs w:val="20"/>
          <w:lang w:eastAsia="ja-JP"/>
        </w:rPr>
      </w:pPr>
      <w:r w:rsidRPr="00C65EFC">
        <w:rPr>
          <w:rFonts w:eastAsia="ＭＳ 明朝"/>
          <w:sz w:val="20"/>
          <w:szCs w:val="20"/>
          <w:lang w:eastAsia="ja-JP"/>
        </w:rPr>
        <w:t xml:space="preserve">UE is allowed to transmit NR UL signals at least in the </w:t>
      </w:r>
      <w:proofErr w:type="spellStart"/>
      <w:r w:rsidRPr="00C65EFC">
        <w:rPr>
          <w:rFonts w:eastAsia="ＭＳ 明朝"/>
          <w:sz w:val="20"/>
          <w:szCs w:val="20"/>
          <w:lang w:eastAsia="ja-JP"/>
        </w:rPr>
        <w:t>subframe</w:t>
      </w:r>
      <w:proofErr w:type="spellEnd"/>
      <w:r w:rsidRPr="00C65EFC">
        <w:rPr>
          <w:rFonts w:eastAsia="ＭＳ 明朝"/>
          <w:sz w:val="20"/>
          <w:szCs w:val="20"/>
          <w:lang w:eastAsia="ja-JP"/>
        </w:rPr>
        <w:t>(s) where LTE UL transmission is not allowed according to the DL-reference UL/DL configuration</w:t>
      </w:r>
    </w:p>
    <w:p w14:paraId="70B499BC" w14:textId="77777777" w:rsidR="002710A9" w:rsidRPr="00C65EFC" w:rsidRDefault="002710A9" w:rsidP="002710A9">
      <w:pPr>
        <w:numPr>
          <w:ilvl w:val="3"/>
          <w:numId w:val="35"/>
        </w:numPr>
        <w:tabs>
          <w:tab w:val="left" w:pos="1440"/>
        </w:tabs>
        <w:rPr>
          <w:rFonts w:eastAsia="ＭＳ 明朝"/>
          <w:sz w:val="20"/>
          <w:szCs w:val="20"/>
          <w:lang w:eastAsia="ja-JP"/>
        </w:rPr>
      </w:pPr>
      <w:r w:rsidRPr="00C65EFC">
        <w:rPr>
          <w:rFonts w:eastAsia="ＭＳ 明朝"/>
          <w:sz w:val="20"/>
          <w:szCs w:val="20"/>
          <w:lang w:eastAsia="ja-JP"/>
        </w:rPr>
        <w:t xml:space="preserve">FFS whether or not a UE-specific </w:t>
      </w:r>
      <w:proofErr w:type="spellStart"/>
      <w:r w:rsidRPr="00C65EFC">
        <w:rPr>
          <w:rFonts w:eastAsia="ＭＳ 明朝"/>
          <w:sz w:val="20"/>
          <w:szCs w:val="20"/>
          <w:lang w:eastAsia="ja-JP"/>
        </w:rPr>
        <w:t>subframe</w:t>
      </w:r>
      <w:proofErr w:type="spellEnd"/>
      <w:r w:rsidRPr="00C65EFC">
        <w:rPr>
          <w:rFonts w:eastAsia="ＭＳ 明朝"/>
          <w:sz w:val="20"/>
          <w:szCs w:val="20"/>
          <w:lang w:eastAsia="ja-JP"/>
        </w:rPr>
        <w:t xml:space="preserve"> offset for the DL-reference UL/DL configuration can be configured considering system resource utilization and potential spec impact</w:t>
      </w:r>
    </w:p>
    <w:p w14:paraId="5B7AC6F8" w14:textId="77777777" w:rsidR="002710A9" w:rsidRPr="00C65EFC" w:rsidRDefault="002710A9" w:rsidP="002710A9">
      <w:pPr>
        <w:numPr>
          <w:ilvl w:val="2"/>
          <w:numId w:val="35"/>
        </w:numPr>
        <w:tabs>
          <w:tab w:val="left" w:pos="1440"/>
        </w:tabs>
        <w:rPr>
          <w:rFonts w:eastAsia="ＭＳ 明朝"/>
          <w:sz w:val="20"/>
          <w:szCs w:val="20"/>
          <w:lang w:eastAsia="ja-JP"/>
        </w:rPr>
      </w:pPr>
      <w:r w:rsidRPr="00193DCE">
        <w:rPr>
          <w:rFonts w:eastAsia="ＭＳ 明朝"/>
          <w:sz w:val="20"/>
          <w:szCs w:val="20"/>
          <w:highlight w:val="yellow"/>
          <w:lang w:eastAsia="ja-JP"/>
        </w:rPr>
        <w:t>Case 2</w:t>
      </w:r>
      <w:r w:rsidRPr="00C65EFC">
        <w:rPr>
          <w:rFonts w:eastAsia="ＭＳ 明朝"/>
          <w:sz w:val="20"/>
          <w:szCs w:val="20"/>
          <w:lang w:eastAsia="ja-JP"/>
        </w:rPr>
        <w:t>: Release 15 LTE-FDD HARQ timing</w:t>
      </w:r>
    </w:p>
    <w:p w14:paraId="102FF3BC" w14:textId="77777777" w:rsidR="002710A9" w:rsidRPr="00C65EFC" w:rsidRDefault="002710A9" w:rsidP="002710A9">
      <w:pPr>
        <w:numPr>
          <w:ilvl w:val="3"/>
          <w:numId w:val="35"/>
        </w:numPr>
        <w:tabs>
          <w:tab w:val="left" w:pos="1440"/>
        </w:tabs>
        <w:rPr>
          <w:rFonts w:eastAsia="ＭＳ 明朝"/>
          <w:sz w:val="20"/>
          <w:szCs w:val="20"/>
          <w:lang w:eastAsia="ja-JP"/>
        </w:rPr>
      </w:pPr>
      <w:r w:rsidRPr="00C65EFC">
        <w:rPr>
          <w:rFonts w:eastAsia="ＭＳ 明朝"/>
          <w:sz w:val="20"/>
          <w:szCs w:val="20"/>
          <w:lang w:eastAsia="ja-JP"/>
        </w:rPr>
        <w:t>No impact on LTE RAN1 specifications</w:t>
      </w:r>
    </w:p>
    <w:p w14:paraId="1AA62C65" w14:textId="77777777" w:rsidR="002710A9" w:rsidRPr="00C65EFC" w:rsidRDefault="002710A9" w:rsidP="002710A9">
      <w:pPr>
        <w:numPr>
          <w:ilvl w:val="2"/>
          <w:numId w:val="35"/>
        </w:numPr>
        <w:tabs>
          <w:tab w:val="left" w:pos="1440"/>
        </w:tabs>
        <w:rPr>
          <w:rFonts w:eastAsia="ＭＳ 明朝"/>
          <w:sz w:val="20"/>
          <w:szCs w:val="20"/>
          <w:lang w:eastAsia="ja-JP"/>
        </w:rPr>
      </w:pPr>
      <w:r w:rsidRPr="00C65EFC">
        <w:rPr>
          <w:rFonts w:eastAsia="ＭＳ 明朝"/>
          <w:sz w:val="20"/>
          <w:szCs w:val="20"/>
          <w:lang w:eastAsia="ja-JP"/>
        </w:rPr>
        <w:t>Note: it doesn’t necessarily imply that UE has to support both cases</w:t>
      </w:r>
    </w:p>
    <w:p w14:paraId="7401E1E6" w14:textId="77777777" w:rsidR="008D4B3C" w:rsidRPr="00C65EFC" w:rsidRDefault="008D4B3C" w:rsidP="008D4B3C">
      <w:pPr>
        <w:rPr>
          <w:rFonts w:eastAsia="ＭＳ 明朝"/>
          <w:sz w:val="20"/>
          <w:szCs w:val="20"/>
          <w:lang w:eastAsia="ja-JP"/>
        </w:rPr>
      </w:pPr>
    </w:p>
    <w:p w14:paraId="22EE95AC" w14:textId="0FD1629A" w:rsidR="00D43B74" w:rsidRDefault="00494C12" w:rsidP="008D4B3C">
      <w:pPr>
        <w:rPr>
          <w:rFonts w:eastAsia="ＭＳ 明朝"/>
          <w:sz w:val="20"/>
          <w:szCs w:val="20"/>
          <w:lang w:eastAsia="ja-JP"/>
        </w:rPr>
      </w:pPr>
      <w:r>
        <w:rPr>
          <w:rFonts w:eastAsia="ＭＳ 明朝"/>
          <w:sz w:val="20"/>
          <w:szCs w:val="20"/>
          <w:lang w:eastAsia="ja-JP"/>
        </w:rPr>
        <w:t xml:space="preserve">The impact from the above two agreed cases to the </w:t>
      </w:r>
      <w:r w:rsidRPr="00384273">
        <w:rPr>
          <w:rFonts w:eastAsia="ＭＳ 明朝"/>
          <w:sz w:val="20"/>
          <w:szCs w:val="20"/>
          <w:u w:val="single"/>
          <w:lang w:eastAsia="ja-JP"/>
        </w:rPr>
        <w:t>downlink</w:t>
      </w:r>
      <w:r>
        <w:rPr>
          <w:rFonts w:eastAsia="ＭＳ 明朝"/>
          <w:sz w:val="20"/>
          <w:szCs w:val="20"/>
          <w:lang w:eastAsia="ja-JP"/>
        </w:rPr>
        <w:t xml:space="preserve"> HARQ timing on the FDD LTE carrier is explained in details in </w:t>
      </w:r>
      <w:r>
        <w:rPr>
          <w:rFonts w:eastAsia="ＭＳ 明朝"/>
          <w:sz w:val="20"/>
          <w:szCs w:val="20"/>
          <w:lang w:eastAsia="ja-JP"/>
        </w:rPr>
        <w:fldChar w:fldCharType="begin"/>
      </w:r>
      <w:r>
        <w:rPr>
          <w:rFonts w:eastAsia="ＭＳ 明朝"/>
          <w:sz w:val="20"/>
          <w:szCs w:val="20"/>
          <w:lang w:eastAsia="ja-JP"/>
        </w:rPr>
        <w:instrText xml:space="preserve"> REF _Ref494653034 \r \h </w:instrText>
      </w:r>
      <w:r>
        <w:rPr>
          <w:rFonts w:eastAsia="ＭＳ 明朝"/>
          <w:sz w:val="20"/>
          <w:szCs w:val="20"/>
          <w:lang w:eastAsia="ja-JP"/>
        </w:rPr>
      </w:r>
      <w:r>
        <w:rPr>
          <w:rFonts w:eastAsia="ＭＳ 明朝"/>
          <w:sz w:val="20"/>
          <w:szCs w:val="20"/>
          <w:lang w:eastAsia="ja-JP"/>
        </w:rPr>
        <w:fldChar w:fldCharType="separate"/>
      </w:r>
      <w:r>
        <w:rPr>
          <w:rFonts w:eastAsia="ＭＳ 明朝"/>
          <w:sz w:val="20"/>
          <w:szCs w:val="20"/>
          <w:lang w:eastAsia="ja-JP"/>
        </w:rPr>
        <w:t>[10]</w:t>
      </w:r>
      <w:r>
        <w:rPr>
          <w:rFonts w:eastAsia="ＭＳ 明朝"/>
          <w:sz w:val="20"/>
          <w:szCs w:val="20"/>
          <w:lang w:eastAsia="ja-JP"/>
        </w:rPr>
        <w:fldChar w:fldCharType="end"/>
      </w:r>
      <w:r>
        <w:rPr>
          <w:rFonts w:eastAsia="ＭＳ 明朝"/>
          <w:sz w:val="20"/>
          <w:szCs w:val="20"/>
          <w:lang w:eastAsia="ja-JP"/>
        </w:rPr>
        <w:t>. To summarize:</w:t>
      </w:r>
    </w:p>
    <w:p w14:paraId="4C130EE2" w14:textId="77777777" w:rsidR="00384273" w:rsidRDefault="00494C12" w:rsidP="00494C12">
      <w:pPr>
        <w:pStyle w:val="ListParagraph"/>
        <w:numPr>
          <w:ilvl w:val="0"/>
          <w:numId w:val="34"/>
        </w:numPr>
        <w:rPr>
          <w:rFonts w:eastAsia="ＭＳ 明朝"/>
          <w:sz w:val="20"/>
          <w:szCs w:val="20"/>
          <w:lang w:eastAsia="ja-JP"/>
        </w:rPr>
      </w:pPr>
      <w:r>
        <w:rPr>
          <w:rFonts w:eastAsia="ＭＳ 明朝"/>
          <w:sz w:val="20"/>
          <w:szCs w:val="20"/>
          <w:lang w:eastAsia="ja-JP"/>
        </w:rPr>
        <w:t xml:space="preserve">Case 1 allows the UE to still </w:t>
      </w:r>
      <w:r w:rsidR="00384273" w:rsidRPr="00384273">
        <w:rPr>
          <w:rFonts w:eastAsia="ＭＳ 明朝"/>
          <w:sz w:val="20"/>
          <w:szCs w:val="20"/>
          <w:u w:val="single"/>
          <w:lang w:eastAsia="ja-JP"/>
        </w:rPr>
        <w:t xml:space="preserve">fully </w:t>
      </w:r>
      <w:r w:rsidRPr="00384273">
        <w:rPr>
          <w:rFonts w:eastAsia="ＭＳ 明朝"/>
          <w:sz w:val="20"/>
          <w:szCs w:val="20"/>
          <w:u w:val="single"/>
          <w:lang w:eastAsia="ja-JP"/>
        </w:rPr>
        <w:t>use</w:t>
      </w:r>
      <w:r>
        <w:rPr>
          <w:rFonts w:eastAsia="ＭＳ 明朝"/>
          <w:sz w:val="20"/>
          <w:szCs w:val="20"/>
          <w:lang w:eastAsia="ja-JP"/>
        </w:rPr>
        <w:t xml:space="preserve"> all the sub-frames on the FDD LTE downlink</w:t>
      </w:r>
      <w:r w:rsidR="00384273">
        <w:rPr>
          <w:rFonts w:eastAsia="ＭＳ 明朝"/>
          <w:sz w:val="20"/>
          <w:szCs w:val="20"/>
          <w:lang w:eastAsia="ja-JP"/>
        </w:rPr>
        <w:t xml:space="preserve"> carrier, even the number of available uplink sub-frames are limited due to the semi-static TDM pattern. </w:t>
      </w:r>
    </w:p>
    <w:p w14:paraId="1F290B82" w14:textId="1EB7C5A9" w:rsidR="00D02B70" w:rsidRDefault="00D02B70" w:rsidP="00384273">
      <w:pPr>
        <w:pStyle w:val="ListParagraph"/>
        <w:numPr>
          <w:ilvl w:val="1"/>
          <w:numId w:val="34"/>
        </w:numPr>
        <w:rPr>
          <w:rFonts w:eastAsia="ＭＳ 明朝"/>
          <w:sz w:val="20"/>
          <w:szCs w:val="20"/>
          <w:lang w:eastAsia="ja-JP"/>
        </w:rPr>
      </w:pPr>
      <w:r>
        <w:rPr>
          <w:rFonts w:eastAsia="ＭＳ 明朝"/>
          <w:sz w:val="20"/>
          <w:szCs w:val="20"/>
          <w:lang w:eastAsia="ja-JP"/>
        </w:rPr>
        <w:t>No impact to the LTE DL throughput of the specific DC UE</w:t>
      </w:r>
    </w:p>
    <w:p w14:paraId="0B27C586" w14:textId="5C130995" w:rsidR="00494C12" w:rsidRDefault="00384273" w:rsidP="00384273">
      <w:pPr>
        <w:pStyle w:val="ListParagraph"/>
        <w:numPr>
          <w:ilvl w:val="1"/>
          <w:numId w:val="34"/>
        </w:numPr>
        <w:rPr>
          <w:rFonts w:eastAsia="ＭＳ 明朝"/>
          <w:sz w:val="20"/>
          <w:szCs w:val="20"/>
          <w:lang w:eastAsia="ja-JP"/>
        </w:rPr>
      </w:pPr>
      <w:r>
        <w:rPr>
          <w:rFonts w:eastAsia="ＭＳ 明朝"/>
          <w:sz w:val="20"/>
          <w:szCs w:val="20"/>
          <w:lang w:eastAsia="ja-JP"/>
        </w:rPr>
        <w:t>The associated DL HARQ timing</w:t>
      </w:r>
      <w:r w:rsidR="00A855D4">
        <w:rPr>
          <w:rFonts w:eastAsia="ＭＳ 明朝"/>
          <w:sz w:val="20"/>
          <w:szCs w:val="20"/>
          <w:lang w:eastAsia="ja-JP"/>
        </w:rPr>
        <w:t xml:space="preserve"> (PDSCH to ACK)</w:t>
      </w:r>
      <w:r>
        <w:rPr>
          <w:rFonts w:eastAsia="ＭＳ 明朝"/>
          <w:sz w:val="20"/>
          <w:szCs w:val="20"/>
          <w:lang w:eastAsia="ja-JP"/>
        </w:rPr>
        <w:t xml:space="preserve"> is already defined in existing 36.213.</w:t>
      </w:r>
    </w:p>
    <w:p w14:paraId="2AF558CA" w14:textId="1794ABD9" w:rsidR="00384273" w:rsidRDefault="00384273" w:rsidP="00384273">
      <w:pPr>
        <w:pStyle w:val="ListParagraph"/>
        <w:numPr>
          <w:ilvl w:val="1"/>
          <w:numId w:val="34"/>
        </w:numPr>
        <w:rPr>
          <w:rFonts w:eastAsia="ＭＳ 明朝"/>
          <w:sz w:val="20"/>
          <w:szCs w:val="20"/>
          <w:lang w:eastAsia="ja-JP"/>
        </w:rPr>
      </w:pPr>
      <w:r>
        <w:rPr>
          <w:rFonts w:eastAsia="ＭＳ 明朝"/>
          <w:sz w:val="20"/>
          <w:szCs w:val="20"/>
          <w:lang w:eastAsia="ja-JP"/>
        </w:rPr>
        <w:t>Spec change is needed so that network can configure the NSA DC UE to operate with the TDD-FDD CA HARQ timing on the LTE carrier.</w:t>
      </w:r>
    </w:p>
    <w:p w14:paraId="30702EDF" w14:textId="2900CF9A" w:rsidR="00384273" w:rsidRDefault="00384273" w:rsidP="00494C12">
      <w:pPr>
        <w:pStyle w:val="ListParagraph"/>
        <w:numPr>
          <w:ilvl w:val="0"/>
          <w:numId w:val="34"/>
        </w:numPr>
        <w:rPr>
          <w:rFonts w:eastAsia="ＭＳ 明朝"/>
          <w:sz w:val="20"/>
          <w:szCs w:val="20"/>
          <w:lang w:eastAsia="ja-JP"/>
        </w:rPr>
      </w:pPr>
      <w:r>
        <w:rPr>
          <w:rFonts w:eastAsia="ＭＳ 明朝"/>
          <w:sz w:val="20"/>
          <w:szCs w:val="20"/>
          <w:lang w:eastAsia="ja-JP"/>
        </w:rPr>
        <w:lastRenderedPageBreak/>
        <w:t xml:space="preserve">Case 2 </w:t>
      </w:r>
      <w:r w:rsidR="00B936A3">
        <w:rPr>
          <w:rFonts w:eastAsia="ＭＳ 明朝"/>
          <w:sz w:val="20"/>
          <w:szCs w:val="20"/>
          <w:lang w:eastAsia="ja-JP"/>
        </w:rPr>
        <w:t>follows same DL HARQ timing as that of FDD LTE</w:t>
      </w:r>
      <w:r w:rsidR="00D02B70">
        <w:rPr>
          <w:rFonts w:eastAsia="ＭＳ 明朝"/>
          <w:sz w:val="20"/>
          <w:szCs w:val="20"/>
          <w:lang w:eastAsia="ja-JP"/>
        </w:rPr>
        <w:t xml:space="preserve">, and UE can </w:t>
      </w:r>
      <w:r w:rsidR="00D02B70" w:rsidRPr="00D02B70">
        <w:rPr>
          <w:rFonts w:eastAsia="ＭＳ 明朝"/>
          <w:sz w:val="20"/>
          <w:szCs w:val="20"/>
          <w:u w:val="single"/>
          <w:lang w:eastAsia="ja-JP"/>
        </w:rPr>
        <w:t>only use</w:t>
      </w:r>
      <w:r w:rsidR="00B936A3" w:rsidRPr="00D02B70">
        <w:rPr>
          <w:rFonts w:eastAsia="ＭＳ 明朝"/>
          <w:sz w:val="20"/>
          <w:szCs w:val="20"/>
          <w:u w:val="single"/>
          <w:lang w:eastAsia="ja-JP"/>
        </w:rPr>
        <w:t xml:space="preserve"> a subset</w:t>
      </w:r>
      <w:r w:rsidR="00B936A3">
        <w:rPr>
          <w:rFonts w:eastAsia="ＭＳ 明朝"/>
          <w:sz w:val="20"/>
          <w:szCs w:val="20"/>
          <w:lang w:eastAsia="ja-JP"/>
        </w:rPr>
        <w:t xml:space="preserve"> of sub-frames on the FDD LTE dow</w:t>
      </w:r>
      <w:r w:rsidR="00A855D4">
        <w:rPr>
          <w:rFonts w:eastAsia="ＭＳ 明朝"/>
          <w:sz w:val="20"/>
          <w:szCs w:val="20"/>
          <w:lang w:eastAsia="ja-JP"/>
        </w:rPr>
        <w:t>nlink carrier due to the loss of some</w:t>
      </w:r>
      <w:r w:rsidR="00B936A3">
        <w:rPr>
          <w:rFonts w:eastAsia="ＭＳ 明朝"/>
          <w:sz w:val="20"/>
          <w:szCs w:val="20"/>
          <w:lang w:eastAsia="ja-JP"/>
        </w:rPr>
        <w:t xml:space="preserve"> uplink sub</w:t>
      </w:r>
      <w:r w:rsidR="00A855D4">
        <w:rPr>
          <w:rFonts w:eastAsia="ＭＳ 明朝"/>
          <w:sz w:val="20"/>
          <w:szCs w:val="20"/>
          <w:lang w:eastAsia="ja-JP"/>
        </w:rPr>
        <w:t>-</w:t>
      </w:r>
      <w:r w:rsidR="00B936A3">
        <w:rPr>
          <w:rFonts w:eastAsia="ＭＳ 明朝"/>
          <w:sz w:val="20"/>
          <w:szCs w:val="20"/>
          <w:lang w:eastAsia="ja-JP"/>
        </w:rPr>
        <w:t>frames</w:t>
      </w:r>
      <w:r w:rsidR="00A855D4">
        <w:rPr>
          <w:rFonts w:eastAsia="ＭＳ 明朝"/>
          <w:sz w:val="20"/>
          <w:szCs w:val="20"/>
          <w:lang w:eastAsia="ja-JP"/>
        </w:rPr>
        <w:t xml:space="preserve">. </w:t>
      </w:r>
    </w:p>
    <w:p w14:paraId="372D36BE" w14:textId="0B269B65" w:rsidR="00D02B70" w:rsidRDefault="00D02B70" w:rsidP="00D02B70">
      <w:pPr>
        <w:pStyle w:val="ListParagraph"/>
        <w:numPr>
          <w:ilvl w:val="1"/>
          <w:numId w:val="34"/>
        </w:numPr>
        <w:rPr>
          <w:rFonts w:eastAsia="ＭＳ 明朝"/>
          <w:sz w:val="20"/>
          <w:szCs w:val="20"/>
          <w:lang w:eastAsia="ja-JP"/>
        </w:rPr>
      </w:pPr>
      <w:r>
        <w:rPr>
          <w:rFonts w:eastAsia="ＭＳ 明朝"/>
          <w:sz w:val="20"/>
          <w:szCs w:val="20"/>
          <w:lang w:eastAsia="ja-JP"/>
        </w:rPr>
        <w:t>LTE DL throughput is reduced for the specific DC UE</w:t>
      </w:r>
    </w:p>
    <w:p w14:paraId="3BE94968" w14:textId="77777777" w:rsidR="00A855D4" w:rsidRDefault="00A855D4" w:rsidP="00A855D4">
      <w:pPr>
        <w:rPr>
          <w:rFonts w:eastAsia="ＭＳ 明朝"/>
          <w:sz w:val="20"/>
          <w:szCs w:val="20"/>
          <w:lang w:eastAsia="ja-JP"/>
        </w:rPr>
      </w:pPr>
    </w:p>
    <w:p w14:paraId="261E4D44" w14:textId="3028B956" w:rsidR="00A855D4" w:rsidRDefault="00A855D4" w:rsidP="00477B5E">
      <w:pPr>
        <w:jc w:val="both"/>
        <w:rPr>
          <w:rFonts w:eastAsia="ＭＳ 明朝"/>
          <w:sz w:val="20"/>
          <w:szCs w:val="20"/>
          <w:lang w:eastAsia="ja-JP"/>
        </w:rPr>
      </w:pPr>
      <w:r>
        <w:rPr>
          <w:rFonts w:eastAsia="ＭＳ 明朝"/>
          <w:sz w:val="20"/>
          <w:szCs w:val="20"/>
          <w:lang w:eastAsia="ja-JP"/>
        </w:rPr>
        <w:t xml:space="preserve">However, the </w:t>
      </w:r>
      <w:r w:rsidR="00D3014D">
        <w:rPr>
          <w:rFonts w:eastAsia="ＭＳ 明朝"/>
          <w:sz w:val="20"/>
          <w:szCs w:val="20"/>
          <w:lang w:eastAsia="ja-JP"/>
        </w:rPr>
        <w:t xml:space="preserve">exact implication to UL PUSCH on the FDD LTE uplink carrier </w:t>
      </w:r>
      <w:r w:rsidR="001C18FE">
        <w:rPr>
          <w:rFonts w:eastAsia="ＭＳ 明朝"/>
          <w:sz w:val="20"/>
          <w:szCs w:val="20"/>
          <w:lang w:eastAsia="ja-JP"/>
        </w:rPr>
        <w:t>is not fully clear, at least for case 2.</w:t>
      </w:r>
      <w:r w:rsidR="00477B5E">
        <w:rPr>
          <w:rFonts w:eastAsia="ＭＳ 明朝"/>
          <w:sz w:val="20"/>
          <w:szCs w:val="20"/>
          <w:lang w:eastAsia="ja-JP"/>
        </w:rPr>
        <w:t xml:space="preserve"> Notice that the intention of case 2 is to follow exactly the FDD LTE operation without any impact on the LTE RAN1 specifications. Therefore, </w:t>
      </w:r>
      <w:r w:rsidR="00D02B70">
        <w:rPr>
          <w:rFonts w:eastAsia="ＭＳ 明朝"/>
          <w:sz w:val="20"/>
          <w:szCs w:val="20"/>
          <w:lang w:eastAsia="ja-JP"/>
        </w:rPr>
        <w:t>the absence of UL sub-frames is expected to be handled through network scheduling and transparent to the UE.</w:t>
      </w:r>
      <w:r w:rsidR="00D3014D">
        <w:rPr>
          <w:rFonts w:eastAsia="ＭＳ 明朝"/>
          <w:sz w:val="20"/>
          <w:szCs w:val="20"/>
          <w:lang w:eastAsia="ja-JP"/>
        </w:rPr>
        <w:t xml:space="preserve"> </w:t>
      </w:r>
    </w:p>
    <w:p w14:paraId="4C3CFCE9" w14:textId="77777777" w:rsidR="00934191" w:rsidRDefault="00934191" w:rsidP="00477B5E">
      <w:pPr>
        <w:jc w:val="both"/>
        <w:rPr>
          <w:rFonts w:eastAsia="ＭＳ 明朝"/>
          <w:sz w:val="20"/>
          <w:szCs w:val="20"/>
          <w:lang w:eastAsia="ja-JP"/>
        </w:rPr>
      </w:pPr>
    </w:p>
    <w:p w14:paraId="0BEB1322" w14:textId="4E39D210" w:rsidR="00112BC3" w:rsidRDefault="00112BC3" w:rsidP="00477B5E">
      <w:pPr>
        <w:jc w:val="both"/>
        <w:rPr>
          <w:rFonts w:eastAsia="ＭＳ 明朝"/>
          <w:sz w:val="20"/>
          <w:szCs w:val="20"/>
          <w:lang w:eastAsia="ja-JP"/>
        </w:rPr>
      </w:pPr>
      <w:r>
        <w:rPr>
          <w:rFonts w:eastAsia="ＭＳ 明朝"/>
          <w:sz w:val="20"/>
          <w:szCs w:val="20"/>
          <w:lang w:eastAsia="ja-JP"/>
        </w:rPr>
        <w:t>However, the legacy F</w:t>
      </w:r>
      <w:r w:rsidR="00934191">
        <w:rPr>
          <w:rFonts w:eastAsia="ＭＳ 明朝"/>
          <w:sz w:val="20"/>
          <w:szCs w:val="20"/>
          <w:lang w:eastAsia="ja-JP"/>
        </w:rPr>
        <w:t xml:space="preserve">DD LTE UL uses synchronous HARQ, as shown </w:t>
      </w:r>
      <w:r w:rsidR="00934191" w:rsidRPr="00934191">
        <w:rPr>
          <w:rFonts w:eastAsia="ＭＳ 明朝"/>
          <w:sz w:val="20"/>
          <w:szCs w:val="20"/>
          <w:lang w:eastAsia="ja-JP"/>
        </w:rPr>
        <w:t xml:space="preserve">in </w:t>
      </w:r>
      <w:r w:rsidR="00934191" w:rsidRPr="00934191">
        <w:rPr>
          <w:rFonts w:eastAsia="ＭＳ 明朝"/>
          <w:sz w:val="20"/>
          <w:szCs w:val="20"/>
          <w:lang w:eastAsia="ja-JP"/>
        </w:rPr>
        <w:fldChar w:fldCharType="begin"/>
      </w:r>
      <w:r w:rsidR="00934191" w:rsidRPr="00934191">
        <w:rPr>
          <w:rFonts w:eastAsia="ＭＳ 明朝"/>
          <w:sz w:val="20"/>
          <w:szCs w:val="20"/>
          <w:lang w:eastAsia="ja-JP"/>
        </w:rPr>
        <w:instrText xml:space="preserve"> REF _Ref494657671 \h </w:instrText>
      </w:r>
      <w:r w:rsidR="00934191">
        <w:rPr>
          <w:rFonts w:eastAsia="ＭＳ 明朝"/>
          <w:sz w:val="20"/>
          <w:szCs w:val="20"/>
          <w:lang w:eastAsia="ja-JP"/>
        </w:rPr>
        <w:instrText xml:space="preserve"> \* MERGEFORMAT </w:instrText>
      </w:r>
      <w:r w:rsidR="00934191" w:rsidRPr="00934191">
        <w:rPr>
          <w:rFonts w:eastAsia="ＭＳ 明朝"/>
          <w:sz w:val="20"/>
          <w:szCs w:val="20"/>
          <w:lang w:eastAsia="ja-JP"/>
        </w:rPr>
      </w:r>
      <w:r w:rsidR="00934191" w:rsidRPr="00934191">
        <w:rPr>
          <w:rFonts w:eastAsia="ＭＳ 明朝"/>
          <w:sz w:val="20"/>
          <w:szCs w:val="20"/>
          <w:lang w:eastAsia="ja-JP"/>
        </w:rPr>
        <w:fldChar w:fldCharType="separate"/>
      </w:r>
      <w:r w:rsidR="00934191" w:rsidRPr="00934191">
        <w:rPr>
          <w:sz w:val="20"/>
          <w:szCs w:val="20"/>
        </w:rPr>
        <w:t xml:space="preserve">Figure </w:t>
      </w:r>
      <w:r w:rsidR="00934191" w:rsidRPr="00934191">
        <w:rPr>
          <w:noProof/>
          <w:sz w:val="20"/>
          <w:szCs w:val="20"/>
        </w:rPr>
        <w:t>2</w:t>
      </w:r>
      <w:r w:rsidR="00934191" w:rsidRPr="00934191">
        <w:rPr>
          <w:rFonts w:eastAsia="ＭＳ 明朝"/>
          <w:sz w:val="20"/>
          <w:szCs w:val="20"/>
          <w:lang w:eastAsia="ja-JP"/>
        </w:rPr>
        <w:fldChar w:fldCharType="end"/>
      </w:r>
      <w:r w:rsidR="00934191">
        <w:rPr>
          <w:rFonts w:eastAsia="ＭＳ 明朝"/>
          <w:sz w:val="20"/>
          <w:szCs w:val="20"/>
          <w:lang w:eastAsia="ja-JP"/>
        </w:rPr>
        <w:t xml:space="preserve">. For a PUSCH sent on sub-frame n, </w:t>
      </w:r>
      <w:r>
        <w:rPr>
          <w:rFonts w:eastAsia="ＭＳ 明朝"/>
          <w:sz w:val="20"/>
          <w:szCs w:val="20"/>
          <w:lang w:eastAsia="ja-JP"/>
        </w:rPr>
        <w:t>the</w:t>
      </w:r>
      <w:r w:rsidR="00934191">
        <w:rPr>
          <w:rFonts w:eastAsia="ＭＳ 明朝"/>
          <w:sz w:val="20"/>
          <w:szCs w:val="20"/>
          <w:lang w:eastAsia="ja-JP"/>
        </w:rPr>
        <w:t xml:space="preserve"> corresponding</w:t>
      </w:r>
      <w:r>
        <w:rPr>
          <w:rFonts w:eastAsia="ＭＳ 明朝"/>
          <w:sz w:val="20"/>
          <w:szCs w:val="20"/>
          <w:lang w:eastAsia="ja-JP"/>
        </w:rPr>
        <w:t xml:space="preserve"> ACK on PHICH is expected </w:t>
      </w:r>
      <w:r w:rsidR="00934191">
        <w:rPr>
          <w:rFonts w:eastAsia="ＭＳ 明朝"/>
          <w:sz w:val="20"/>
          <w:szCs w:val="20"/>
          <w:lang w:eastAsia="ja-JP"/>
        </w:rPr>
        <w:t>at sub-frame n+</w:t>
      </w:r>
      <w:r>
        <w:rPr>
          <w:rFonts w:eastAsia="ＭＳ 明朝"/>
          <w:sz w:val="20"/>
          <w:szCs w:val="20"/>
          <w:lang w:eastAsia="ja-JP"/>
        </w:rPr>
        <w:t>4, and a retransmission</w:t>
      </w:r>
      <w:r w:rsidR="00934191">
        <w:rPr>
          <w:rFonts w:eastAsia="ＭＳ 明朝"/>
          <w:sz w:val="20"/>
          <w:szCs w:val="20"/>
          <w:lang w:eastAsia="ja-JP"/>
        </w:rPr>
        <w:t xml:space="preserve"> (if any) will be sent on sub-frame</w:t>
      </w:r>
      <w:r w:rsidR="003E770B">
        <w:rPr>
          <w:rFonts w:eastAsia="ＭＳ 明朝"/>
          <w:sz w:val="20"/>
          <w:szCs w:val="20"/>
          <w:lang w:eastAsia="ja-JP"/>
        </w:rPr>
        <w:t xml:space="preserve"> n+8 with the same HARQ ID, and a HARQ ID is not explicitly needed.</w:t>
      </w:r>
    </w:p>
    <w:p w14:paraId="488FC307" w14:textId="77777777" w:rsidR="003E770B" w:rsidRDefault="003E770B" w:rsidP="00477B5E">
      <w:pPr>
        <w:jc w:val="both"/>
        <w:rPr>
          <w:rFonts w:eastAsia="ＭＳ 明朝"/>
          <w:sz w:val="20"/>
          <w:szCs w:val="20"/>
          <w:lang w:eastAsia="ja-JP"/>
        </w:rPr>
      </w:pPr>
    </w:p>
    <w:p w14:paraId="1E3DF93F" w14:textId="160CDDCB" w:rsidR="000E0B10" w:rsidRDefault="000E0B10" w:rsidP="000E0B10">
      <w:pPr>
        <w:jc w:val="center"/>
        <w:rPr>
          <w:rFonts w:eastAsia="ＭＳ 明朝"/>
          <w:sz w:val="20"/>
          <w:szCs w:val="20"/>
          <w:lang w:eastAsia="ja-JP"/>
        </w:rPr>
      </w:pPr>
      <w:r w:rsidRPr="000E0B10">
        <w:rPr>
          <w:rFonts w:eastAsia="ＭＳ 明朝"/>
          <w:noProof/>
          <w:sz w:val="20"/>
          <w:szCs w:val="20"/>
          <w:lang w:eastAsia="en-US"/>
        </w:rPr>
        <w:drawing>
          <wp:inline distT="0" distB="0" distL="0" distR="0" wp14:anchorId="06A56CA5" wp14:editId="72DF1595">
            <wp:extent cx="4709160" cy="667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09160" cy="667512"/>
                    </a:xfrm>
                    <a:prstGeom prst="rect">
                      <a:avLst/>
                    </a:prstGeom>
                  </pic:spPr>
                </pic:pic>
              </a:graphicData>
            </a:graphic>
          </wp:inline>
        </w:drawing>
      </w:r>
    </w:p>
    <w:p w14:paraId="2A5A05E3" w14:textId="77777777" w:rsidR="00934191" w:rsidRDefault="00934191" w:rsidP="000E0B10">
      <w:pPr>
        <w:jc w:val="center"/>
        <w:rPr>
          <w:rFonts w:eastAsia="ＭＳ 明朝"/>
          <w:sz w:val="20"/>
          <w:szCs w:val="20"/>
          <w:lang w:eastAsia="ja-JP"/>
        </w:rPr>
      </w:pPr>
    </w:p>
    <w:p w14:paraId="6589CDEF" w14:textId="64083805" w:rsidR="000E0B10" w:rsidRPr="00934191" w:rsidRDefault="00934191" w:rsidP="00934191">
      <w:pPr>
        <w:pStyle w:val="Caption"/>
        <w:rPr>
          <w:rFonts w:eastAsia="ＭＳ 明朝"/>
          <w:sz w:val="20"/>
          <w:szCs w:val="20"/>
          <w:lang w:eastAsia="ja-JP"/>
        </w:rPr>
      </w:pPr>
      <w:bookmarkStart w:id="1" w:name="_Ref494657671"/>
      <w:r w:rsidRPr="00934191">
        <w:rPr>
          <w:sz w:val="20"/>
          <w:szCs w:val="20"/>
        </w:rPr>
        <w:t xml:space="preserve">Figure </w:t>
      </w:r>
      <w:r w:rsidRPr="00934191">
        <w:rPr>
          <w:sz w:val="20"/>
          <w:szCs w:val="20"/>
        </w:rPr>
        <w:fldChar w:fldCharType="begin"/>
      </w:r>
      <w:r w:rsidRPr="00934191">
        <w:rPr>
          <w:sz w:val="20"/>
          <w:szCs w:val="20"/>
        </w:rPr>
        <w:instrText xml:space="preserve"> SEQ Figure \* ARABIC </w:instrText>
      </w:r>
      <w:r w:rsidRPr="00934191">
        <w:rPr>
          <w:sz w:val="20"/>
          <w:szCs w:val="20"/>
        </w:rPr>
        <w:fldChar w:fldCharType="separate"/>
      </w:r>
      <w:r w:rsidRPr="00934191">
        <w:rPr>
          <w:noProof/>
          <w:sz w:val="20"/>
          <w:szCs w:val="20"/>
        </w:rPr>
        <w:t>2</w:t>
      </w:r>
      <w:r w:rsidRPr="00934191">
        <w:rPr>
          <w:sz w:val="20"/>
          <w:szCs w:val="20"/>
        </w:rPr>
        <w:fldChar w:fldCharType="end"/>
      </w:r>
      <w:bookmarkEnd w:id="1"/>
      <w:r w:rsidRPr="00934191">
        <w:rPr>
          <w:sz w:val="20"/>
          <w:szCs w:val="20"/>
        </w:rPr>
        <w:t xml:space="preserve"> FDD LTE UL HARQ timing</w:t>
      </w:r>
    </w:p>
    <w:p w14:paraId="7C03C2A4" w14:textId="77777777" w:rsidR="003E770B" w:rsidRDefault="00934191" w:rsidP="008D4B3C">
      <w:pPr>
        <w:rPr>
          <w:rFonts w:eastAsia="ＭＳ 明朝"/>
          <w:sz w:val="20"/>
          <w:szCs w:val="20"/>
          <w:lang w:eastAsia="ja-JP"/>
        </w:rPr>
      </w:pPr>
      <w:r>
        <w:rPr>
          <w:rFonts w:eastAsia="ＭＳ 明朝"/>
          <w:sz w:val="20"/>
          <w:szCs w:val="20"/>
          <w:lang w:eastAsia="ja-JP"/>
        </w:rPr>
        <w:t>If case 2</w:t>
      </w:r>
      <w:r w:rsidR="00012144">
        <w:rPr>
          <w:rFonts w:eastAsia="ＭＳ 明朝"/>
          <w:sz w:val="20"/>
          <w:szCs w:val="20"/>
          <w:lang w:eastAsia="ja-JP"/>
        </w:rPr>
        <w:t xml:space="preserve"> from the</w:t>
      </w:r>
      <w:r>
        <w:rPr>
          <w:rFonts w:eastAsia="ＭＳ 明朝"/>
          <w:sz w:val="20"/>
          <w:szCs w:val="20"/>
          <w:lang w:eastAsia="ja-JP"/>
        </w:rPr>
        <w:t xml:space="preserve"> </w:t>
      </w:r>
      <w:r w:rsidR="00012144">
        <w:rPr>
          <w:rFonts w:eastAsia="ＭＳ 明朝"/>
          <w:sz w:val="20"/>
          <w:szCs w:val="20"/>
          <w:lang w:eastAsia="ja-JP"/>
        </w:rPr>
        <w:t xml:space="preserve">above </w:t>
      </w:r>
      <w:r>
        <w:rPr>
          <w:rFonts w:eastAsia="ＭＳ 明朝"/>
          <w:sz w:val="20"/>
          <w:szCs w:val="20"/>
          <w:lang w:eastAsia="ja-JP"/>
        </w:rPr>
        <w:t xml:space="preserve">RAN1 agreement is adopted by the network, </w:t>
      </w:r>
      <w:r w:rsidR="00767A43" w:rsidRPr="000124A7">
        <w:rPr>
          <w:rFonts w:eastAsia="ＭＳ 明朝"/>
          <w:sz w:val="20"/>
          <w:szCs w:val="20"/>
          <w:u w:val="single"/>
          <w:lang w:eastAsia="ja-JP"/>
        </w:rPr>
        <w:t xml:space="preserve">the synchronous </w:t>
      </w:r>
      <w:r w:rsidRPr="000124A7">
        <w:rPr>
          <w:rFonts w:eastAsia="ＭＳ 明朝"/>
          <w:sz w:val="20"/>
          <w:szCs w:val="20"/>
          <w:u w:val="single"/>
          <w:lang w:eastAsia="ja-JP"/>
        </w:rPr>
        <w:t>FDD LTE UL HARQ timing</w:t>
      </w:r>
      <w:r w:rsidR="00767A43" w:rsidRPr="000124A7">
        <w:rPr>
          <w:rFonts w:eastAsia="ＭＳ 明朝"/>
          <w:sz w:val="20"/>
          <w:szCs w:val="20"/>
          <w:u w:val="single"/>
          <w:lang w:eastAsia="ja-JP"/>
        </w:rPr>
        <w:t xml:space="preserve"> may not be supportable</w:t>
      </w:r>
      <w:r w:rsidR="00767A43">
        <w:rPr>
          <w:rFonts w:eastAsia="ＭＳ 明朝"/>
          <w:sz w:val="20"/>
          <w:szCs w:val="20"/>
          <w:lang w:eastAsia="ja-JP"/>
        </w:rPr>
        <w:t>, depending on the TDM pattern of the uplink sub-frames.</w:t>
      </w:r>
      <w:r w:rsidR="003E770B">
        <w:rPr>
          <w:rFonts w:eastAsia="ＭＳ 明朝"/>
          <w:sz w:val="20"/>
          <w:szCs w:val="20"/>
          <w:lang w:eastAsia="ja-JP"/>
        </w:rPr>
        <w:t xml:space="preserve"> For example, </w:t>
      </w:r>
    </w:p>
    <w:p w14:paraId="72220175" w14:textId="01186C4B" w:rsidR="003E770B" w:rsidRDefault="003E770B" w:rsidP="003E770B">
      <w:pPr>
        <w:pStyle w:val="ListParagraph"/>
        <w:numPr>
          <w:ilvl w:val="0"/>
          <w:numId w:val="47"/>
        </w:numPr>
        <w:rPr>
          <w:rFonts w:eastAsia="ＭＳ 明朝"/>
          <w:sz w:val="20"/>
          <w:szCs w:val="20"/>
          <w:lang w:eastAsia="ja-JP"/>
        </w:rPr>
      </w:pPr>
      <w:r w:rsidRPr="003E770B">
        <w:rPr>
          <w:rFonts w:eastAsia="ＭＳ 明朝"/>
          <w:sz w:val="20"/>
          <w:szCs w:val="20"/>
          <w:lang w:eastAsia="ja-JP"/>
        </w:rPr>
        <w:t>if a</w:t>
      </w:r>
      <w:r>
        <w:rPr>
          <w:rFonts w:eastAsia="ＭＳ 明朝"/>
          <w:sz w:val="20"/>
          <w:szCs w:val="20"/>
          <w:lang w:eastAsia="ja-JP"/>
        </w:rPr>
        <w:t>n LTE</w:t>
      </w:r>
      <w:r w:rsidRPr="003E770B">
        <w:rPr>
          <w:rFonts w:eastAsia="ＭＳ 明朝"/>
          <w:sz w:val="20"/>
          <w:szCs w:val="20"/>
          <w:lang w:eastAsia="ja-JP"/>
        </w:rPr>
        <w:t xml:space="preserve"> PUSCH is sent on sub-frame 0</w:t>
      </w:r>
      <w:r>
        <w:rPr>
          <w:rFonts w:eastAsia="ＭＳ 明朝"/>
          <w:sz w:val="20"/>
          <w:szCs w:val="20"/>
          <w:lang w:eastAsia="ja-JP"/>
        </w:rPr>
        <w:t>, this will require</w:t>
      </w:r>
      <w:r w:rsidRPr="003E770B">
        <w:rPr>
          <w:rFonts w:eastAsia="ＭＳ 明朝"/>
          <w:sz w:val="20"/>
          <w:szCs w:val="20"/>
          <w:lang w:eastAsia="ja-JP"/>
        </w:rPr>
        <w:t xml:space="preserve"> sub-frame </w:t>
      </w:r>
      <w:r>
        <w:rPr>
          <w:rFonts w:eastAsia="ＭＳ 明朝"/>
          <w:sz w:val="20"/>
          <w:szCs w:val="20"/>
          <w:lang w:eastAsia="ja-JP"/>
        </w:rPr>
        <w:t>8, 6, 4, 2 are also allocated as LTE UL sub-frames in the TDM pattern</w:t>
      </w:r>
    </w:p>
    <w:p w14:paraId="0FAF6B2F" w14:textId="75332B9B" w:rsidR="003E770B" w:rsidRPr="003E770B" w:rsidRDefault="003E770B" w:rsidP="003E770B">
      <w:pPr>
        <w:pStyle w:val="ListParagraph"/>
        <w:numPr>
          <w:ilvl w:val="0"/>
          <w:numId w:val="47"/>
        </w:numPr>
        <w:rPr>
          <w:rFonts w:eastAsia="ＭＳ 明朝"/>
          <w:sz w:val="20"/>
          <w:szCs w:val="20"/>
          <w:lang w:eastAsia="ja-JP"/>
        </w:rPr>
      </w:pPr>
      <w:r>
        <w:rPr>
          <w:rFonts w:eastAsia="ＭＳ 明朝"/>
          <w:sz w:val="20"/>
          <w:szCs w:val="20"/>
          <w:lang w:eastAsia="ja-JP"/>
        </w:rPr>
        <w:t>If an LTE PUSCH is sent on sub-frame 1, this will require sub-frame 9, 7, 5, 3 are also allocated as LTE UL sub-frames in the TDM pattern</w:t>
      </w:r>
    </w:p>
    <w:p w14:paraId="35F0A959" w14:textId="48F5C56A" w:rsidR="00A268DF" w:rsidRDefault="00EA765A" w:rsidP="008D4B3C">
      <w:pPr>
        <w:rPr>
          <w:rFonts w:eastAsia="ＭＳ 明朝"/>
          <w:sz w:val="20"/>
          <w:szCs w:val="20"/>
          <w:lang w:eastAsia="ja-JP"/>
        </w:rPr>
      </w:pPr>
      <w:r>
        <w:rPr>
          <w:rFonts w:eastAsia="ＭＳ 明朝"/>
          <w:sz w:val="20"/>
          <w:szCs w:val="20"/>
          <w:lang w:eastAsia="ja-JP"/>
        </w:rPr>
        <w:t xml:space="preserve">This indicates that, using case 2 with legacy </w:t>
      </w:r>
      <w:r w:rsidR="007C24AB">
        <w:rPr>
          <w:rFonts w:eastAsia="ＭＳ 明朝"/>
          <w:sz w:val="20"/>
          <w:szCs w:val="20"/>
          <w:lang w:eastAsia="ja-JP"/>
        </w:rPr>
        <w:t>FDD HARQ timing, the semi-static TDD UL pattern should assign either all even UL sub-frames or all odd UL sub-frames to the LTE carrier.</w:t>
      </w:r>
    </w:p>
    <w:p w14:paraId="52DED09C" w14:textId="77777777" w:rsidR="007C24AB" w:rsidRDefault="007C24AB" w:rsidP="008D4B3C">
      <w:pPr>
        <w:rPr>
          <w:rFonts w:eastAsia="ＭＳ 明朝"/>
          <w:sz w:val="20"/>
          <w:szCs w:val="20"/>
          <w:lang w:eastAsia="ja-JP"/>
        </w:rPr>
      </w:pPr>
    </w:p>
    <w:p w14:paraId="17A35E0F" w14:textId="26FFD8B6" w:rsidR="007C24AB" w:rsidRDefault="007C24AB" w:rsidP="007C24AB">
      <w:pPr>
        <w:jc w:val="both"/>
        <w:rPr>
          <w:rFonts w:eastAsia="ＭＳ 明朝"/>
          <w:sz w:val="20"/>
          <w:szCs w:val="20"/>
          <w:lang w:eastAsia="ja-JP"/>
        </w:rPr>
      </w:pPr>
      <w:r w:rsidRPr="0026488F">
        <w:rPr>
          <w:rFonts w:eastAsia="ＭＳ 明朝"/>
          <w:b/>
          <w:i/>
          <w:sz w:val="20"/>
          <w:szCs w:val="20"/>
          <w:u w:val="single"/>
          <w:lang w:eastAsia="ja-JP"/>
        </w:rPr>
        <w:t>Observation 1</w:t>
      </w:r>
      <w:r w:rsidRPr="0026488F">
        <w:rPr>
          <w:rFonts w:eastAsia="ＭＳ 明朝"/>
          <w:b/>
          <w:i/>
          <w:sz w:val="20"/>
          <w:szCs w:val="20"/>
          <w:lang w:eastAsia="ja-JP"/>
        </w:rPr>
        <w:t xml:space="preserve">: for single </w:t>
      </w:r>
      <w:proofErr w:type="spellStart"/>
      <w:r w:rsidRPr="0026488F">
        <w:rPr>
          <w:rFonts w:eastAsia="ＭＳ 明朝"/>
          <w:b/>
          <w:i/>
          <w:sz w:val="20"/>
          <w:szCs w:val="20"/>
          <w:lang w:eastAsia="ja-JP"/>
        </w:rPr>
        <w:t>Tx</w:t>
      </w:r>
      <w:proofErr w:type="spellEnd"/>
      <w:r w:rsidRPr="0026488F">
        <w:rPr>
          <w:rFonts w:eastAsia="ＭＳ 明朝"/>
          <w:b/>
          <w:i/>
          <w:sz w:val="20"/>
          <w:szCs w:val="20"/>
          <w:lang w:eastAsia="ja-JP"/>
        </w:rPr>
        <w:t xml:space="preserve"> switched UL, if LTE carrier HARQ timing is configured based on case 2 of the RAN1 agreement, the semi-static TDD UL pattern should assign either all even UL sub-frames or all odd UL sub-frames to the LTE carrier</w:t>
      </w:r>
      <w:r>
        <w:rPr>
          <w:rFonts w:eastAsia="ＭＳ 明朝"/>
          <w:sz w:val="20"/>
          <w:szCs w:val="20"/>
          <w:lang w:eastAsia="ja-JP"/>
        </w:rPr>
        <w:t>.</w:t>
      </w:r>
    </w:p>
    <w:p w14:paraId="40298FF0" w14:textId="77777777" w:rsidR="007C24AB" w:rsidRDefault="007C24AB" w:rsidP="007C24AB">
      <w:pPr>
        <w:jc w:val="both"/>
        <w:rPr>
          <w:rFonts w:eastAsia="ＭＳ 明朝"/>
          <w:sz w:val="20"/>
          <w:szCs w:val="20"/>
          <w:lang w:eastAsia="ja-JP"/>
        </w:rPr>
      </w:pPr>
    </w:p>
    <w:p w14:paraId="1583D184" w14:textId="55AD3E4A" w:rsidR="007C24AB" w:rsidRDefault="00166169" w:rsidP="007C24AB">
      <w:pPr>
        <w:jc w:val="both"/>
        <w:rPr>
          <w:rFonts w:eastAsia="ＭＳ 明朝"/>
          <w:sz w:val="20"/>
          <w:szCs w:val="20"/>
          <w:lang w:eastAsia="ja-JP"/>
        </w:rPr>
      </w:pPr>
      <w:r>
        <w:rPr>
          <w:rFonts w:eastAsia="ＭＳ 明朝"/>
          <w:sz w:val="20"/>
          <w:szCs w:val="20"/>
          <w:lang w:eastAsia="ja-JP"/>
        </w:rPr>
        <w:t>C</w:t>
      </w:r>
      <w:r w:rsidR="007C24AB">
        <w:rPr>
          <w:rFonts w:eastAsia="ＭＳ 明朝"/>
          <w:sz w:val="20"/>
          <w:szCs w:val="20"/>
          <w:lang w:eastAsia="ja-JP"/>
        </w:rPr>
        <w:t xml:space="preserve">ase 1 obviously could give more flexible selection of TDM </w:t>
      </w:r>
      <w:r>
        <w:rPr>
          <w:rFonts w:eastAsia="ＭＳ 明朝"/>
          <w:sz w:val="20"/>
          <w:szCs w:val="20"/>
          <w:lang w:eastAsia="ja-JP"/>
        </w:rPr>
        <w:t>UL patterns with various number of UL sub-frames per radio frame. In addition, case 1 also allows the DC UE to still achieve 100% utilization of all the downlink sub-frames in the LTE carrier.</w:t>
      </w:r>
      <w:r w:rsidR="0026488F">
        <w:rPr>
          <w:rFonts w:eastAsia="ＭＳ 明朝"/>
          <w:sz w:val="20"/>
          <w:szCs w:val="20"/>
          <w:lang w:eastAsia="ja-JP"/>
        </w:rPr>
        <w:t xml:space="preserve"> </w:t>
      </w:r>
    </w:p>
    <w:p w14:paraId="56E977FE" w14:textId="77777777" w:rsidR="0026488F" w:rsidRDefault="0026488F" w:rsidP="007C24AB">
      <w:pPr>
        <w:jc w:val="both"/>
        <w:rPr>
          <w:rFonts w:eastAsia="ＭＳ 明朝"/>
          <w:sz w:val="20"/>
          <w:szCs w:val="20"/>
          <w:lang w:eastAsia="ja-JP"/>
        </w:rPr>
      </w:pPr>
    </w:p>
    <w:p w14:paraId="3744F99F" w14:textId="3DC83B7E" w:rsidR="00166169" w:rsidRPr="00C65EFC" w:rsidRDefault="0026488F" w:rsidP="007C24AB">
      <w:pPr>
        <w:jc w:val="both"/>
        <w:rPr>
          <w:rFonts w:eastAsia="ＭＳ 明朝"/>
          <w:sz w:val="20"/>
          <w:szCs w:val="20"/>
          <w:lang w:eastAsia="ja-JP"/>
        </w:rPr>
      </w:pPr>
      <w:r w:rsidRPr="0026488F">
        <w:rPr>
          <w:rFonts w:eastAsia="ＭＳ 明朝"/>
          <w:b/>
          <w:i/>
          <w:sz w:val="20"/>
          <w:szCs w:val="20"/>
          <w:u w:val="single"/>
          <w:lang w:eastAsia="ja-JP"/>
        </w:rPr>
        <w:t>Observation 2</w:t>
      </w:r>
      <w:r w:rsidR="00166169" w:rsidRPr="0026488F">
        <w:rPr>
          <w:rFonts w:eastAsia="ＭＳ 明朝"/>
          <w:b/>
          <w:i/>
          <w:sz w:val="20"/>
          <w:szCs w:val="20"/>
          <w:lang w:eastAsia="ja-JP"/>
        </w:rPr>
        <w:t xml:space="preserve">: for single </w:t>
      </w:r>
      <w:proofErr w:type="spellStart"/>
      <w:r w:rsidR="00166169" w:rsidRPr="0026488F">
        <w:rPr>
          <w:rFonts w:eastAsia="ＭＳ 明朝"/>
          <w:b/>
          <w:i/>
          <w:sz w:val="20"/>
          <w:szCs w:val="20"/>
          <w:lang w:eastAsia="ja-JP"/>
        </w:rPr>
        <w:t>Tx</w:t>
      </w:r>
      <w:proofErr w:type="spellEnd"/>
      <w:r w:rsidR="00166169" w:rsidRPr="0026488F">
        <w:rPr>
          <w:rFonts w:eastAsia="ＭＳ 明朝"/>
          <w:b/>
          <w:i/>
          <w:sz w:val="20"/>
          <w:szCs w:val="20"/>
          <w:lang w:eastAsia="ja-JP"/>
        </w:rPr>
        <w:t xml:space="preserve"> switched UL, case 1 from the p</w:t>
      </w:r>
      <w:r w:rsidRPr="0026488F">
        <w:rPr>
          <w:rFonts w:eastAsia="ＭＳ 明朝"/>
          <w:b/>
          <w:i/>
          <w:sz w:val="20"/>
          <w:szCs w:val="20"/>
          <w:lang w:eastAsia="ja-JP"/>
        </w:rPr>
        <w:t>reviously agreed HARQ timing configuration is more efficient than case 2 in terms of LTE downlink resource utilization and TDM UL pattern flexibility</w:t>
      </w:r>
      <w:r>
        <w:rPr>
          <w:rFonts w:eastAsia="ＭＳ 明朝"/>
          <w:sz w:val="20"/>
          <w:szCs w:val="20"/>
          <w:lang w:eastAsia="ja-JP"/>
        </w:rPr>
        <w:t>.</w:t>
      </w:r>
    </w:p>
    <w:p w14:paraId="6C9D8835" w14:textId="77777777" w:rsidR="00D455F2" w:rsidRDefault="00D455F2" w:rsidP="00D878A9">
      <w:pPr>
        <w:pStyle w:val="Heading1"/>
      </w:pPr>
      <w:r>
        <w:t>UL Performance Comparison between Dual and Single UL</w:t>
      </w:r>
    </w:p>
    <w:p w14:paraId="727F4107" w14:textId="4A0953C2" w:rsidR="00B85AAC" w:rsidRPr="00EF5F18" w:rsidRDefault="00B85AAC" w:rsidP="006C590F">
      <w:pPr>
        <w:jc w:val="both"/>
        <w:rPr>
          <w:sz w:val="21"/>
          <w:szCs w:val="20"/>
        </w:rPr>
      </w:pPr>
      <w:r w:rsidRPr="00EF5F18">
        <w:rPr>
          <w:sz w:val="21"/>
          <w:szCs w:val="20"/>
        </w:rPr>
        <w:t xml:space="preserve">In this session, we provide the numerical results to compare the </w:t>
      </w:r>
      <w:r w:rsidR="008E0F80">
        <w:rPr>
          <w:sz w:val="21"/>
          <w:szCs w:val="20"/>
        </w:rPr>
        <w:t>UL performance between dual LTE/</w:t>
      </w:r>
      <w:r w:rsidRPr="00EF5F18">
        <w:rPr>
          <w:sz w:val="21"/>
          <w:szCs w:val="20"/>
        </w:rPr>
        <w:t>NR UL</w:t>
      </w:r>
      <w:r w:rsidR="00085CB0">
        <w:rPr>
          <w:sz w:val="21"/>
          <w:szCs w:val="20"/>
        </w:rPr>
        <w:t xml:space="preserve"> and single UL</w:t>
      </w:r>
      <w:r w:rsidR="00AC681E">
        <w:rPr>
          <w:sz w:val="21"/>
          <w:szCs w:val="20"/>
        </w:rPr>
        <w:t xml:space="preserve"> </w:t>
      </w:r>
      <w:r w:rsidR="00AC681E" w:rsidRPr="00EF5F18">
        <w:rPr>
          <w:sz w:val="21"/>
          <w:szCs w:val="20"/>
        </w:rPr>
        <w:t>in NSA DC mode</w:t>
      </w:r>
      <w:r w:rsidRPr="00EF5F18">
        <w:rPr>
          <w:sz w:val="21"/>
          <w:szCs w:val="20"/>
        </w:rPr>
        <w:t>.</w:t>
      </w:r>
    </w:p>
    <w:p w14:paraId="16EE996A" w14:textId="77777777" w:rsidR="00B85AAC" w:rsidRPr="00EF5F18" w:rsidRDefault="00B85AAC" w:rsidP="006C590F">
      <w:pPr>
        <w:jc w:val="both"/>
        <w:rPr>
          <w:sz w:val="21"/>
          <w:szCs w:val="20"/>
        </w:rPr>
      </w:pPr>
    </w:p>
    <w:p w14:paraId="5A803253" w14:textId="77777777" w:rsidR="003A1C15" w:rsidRPr="00EF5F18" w:rsidRDefault="003A1C15" w:rsidP="006C590F">
      <w:pPr>
        <w:jc w:val="both"/>
        <w:rPr>
          <w:sz w:val="21"/>
          <w:szCs w:val="20"/>
        </w:rPr>
      </w:pPr>
      <w:r w:rsidRPr="00EF5F18">
        <w:rPr>
          <w:sz w:val="21"/>
          <w:szCs w:val="20"/>
        </w:rPr>
        <w:t>We summarize the simulation settings in the following Table</w:t>
      </w:r>
    </w:p>
    <w:p w14:paraId="03178A8C" w14:textId="77777777" w:rsidR="003A1C15" w:rsidRDefault="003A1C15" w:rsidP="006C590F">
      <w:pPr>
        <w:jc w:val="both"/>
        <w:rPr>
          <w:sz w:val="20"/>
          <w:szCs w:val="20"/>
        </w:rPr>
      </w:pPr>
    </w:p>
    <w:p w14:paraId="392AE205" w14:textId="77777777" w:rsidR="00363F7D" w:rsidRPr="00363F7D" w:rsidRDefault="00363F7D" w:rsidP="00363F7D">
      <w:pPr>
        <w:pStyle w:val="Caption"/>
        <w:keepNext/>
        <w:rPr>
          <w:sz w:val="20"/>
        </w:rPr>
      </w:pPr>
      <w:r w:rsidRPr="00363F7D">
        <w:rPr>
          <w:sz w:val="20"/>
        </w:rPr>
        <w:t xml:space="preserve">Table </w:t>
      </w:r>
      <w:r w:rsidRPr="00363F7D">
        <w:rPr>
          <w:sz w:val="20"/>
        </w:rPr>
        <w:fldChar w:fldCharType="begin"/>
      </w:r>
      <w:r w:rsidRPr="00363F7D">
        <w:rPr>
          <w:sz w:val="20"/>
        </w:rPr>
        <w:instrText xml:space="preserve"> SEQ Table \* ARABIC </w:instrText>
      </w:r>
      <w:r w:rsidRPr="00363F7D">
        <w:rPr>
          <w:sz w:val="20"/>
        </w:rPr>
        <w:fldChar w:fldCharType="separate"/>
      </w:r>
      <w:r w:rsidR="00CB4A54">
        <w:rPr>
          <w:noProof/>
          <w:sz w:val="20"/>
        </w:rPr>
        <w:t>1</w:t>
      </w:r>
      <w:r w:rsidRPr="00363F7D">
        <w:rPr>
          <w:sz w:val="20"/>
        </w:rPr>
        <w:fldChar w:fldCharType="end"/>
      </w:r>
      <w:r>
        <w:rPr>
          <w:sz w:val="20"/>
        </w:rPr>
        <w:t xml:space="preserve"> Evaluation Settings for Dual and Single UL performance evaluation</w:t>
      </w:r>
    </w:p>
    <w:tbl>
      <w:tblPr>
        <w:tblW w:w="7457" w:type="dxa"/>
        <w:jc w:val="center"/>
        <w:tblLook w:val="04A0" w:firstRow="1" w:lastRow="0" w:firstColumn="1" w:lastColumn="0" w:noHBand="0" w:noVBand="1"/>
      </w:tblPr>
      <w:tblGrid>
        <w:gridCol w:w="2764"/>
        <w:gridCol w:w="2353"/>
        <w:gridCol w:w="2340"/>
      </w:tblGrid>
      <w:tr w:rsidR="006A282A" w14:paraId="2692866D" w14:textId="77777777" w:rsidTr="00363F7D">
        <w:trPr>
          <w:trHeight w:val="340"/>
          <w:jc w:val="center"/>
        </w:trPr>
        <w:tc>
          <w:tcPr>
            <w:tcW w:w="27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D2DA665" w14:textId="77777777" w:rsidR="006A282A" w:rsidRPr="006A282A" w:rsidRDefault="006A282A">
            <w:pPr>
              <w:rPr>
                <w:rFonts w:ascii="Calibri" w:eastAsia="Times New Roman" w:hAnsi="Calibri"/>
                <w:color w:val="000000"/>
                <w:sz w:val="20"/>
              </w:rPr>
            </w:pPr>
            <w:r w:rsidRPr="006A282A">
              <w:rPr>
                <w:rFonts w:ascii="Calibri" w:eastAsia="Times New Roman" w:hAnsi="Calibri"/>
                <w:color w:val="000000"/>
                <w:sz w:val="20"/>
              </w:rPr>
              <w:t> </w:t>
            </w:r>
          </w:p>
        </w:tc>
        <w:tc>
          <w:tcPr>
            <w:tcW w:w="2353" w:type="dxa"/>
            <w:tcBorders>
              <w:top w:val="single" w:sz="8" w:space="0" w:color="auto"/>
              <w:left w:val="nil"/>
              <w:bottom w:val="single" w:sz="8" w:space="0" w:color="auto"/>
              <w:right w:val="single" w:sz="4" w:space="0" w:color="auto"/>
            </w:tcBorders>
            <w:shd w:val="clear" w:color="auto" w:fill="auto"/>
            <w:noWrap/>
            <w:vAlign w:val="bottom"/>
            <w:hideMark/>
          </w:tcPr>
          <w:p w14:paraId="1B555399" w14:textId="77777777" w:rsidR="006A282A" w:rsidRPr="006A282A" w:rsidRDefault="006A282A">
            <w:pPr>
              <w:jc w:val="center"/>
              <w:rPr>
                <w:rFonts w:ascii="Calibri" w:eastAsia="Times New Roman" w:hAnsi="Calibri"/>
                <w:b/>
                <w:bCs/>
                <w:color w:val="000000"/>
                <w:sz w:val="20"/>
              </w:rPr>
            </w:pPr>
            <w:r w:rsidRPr="006A282A">
              <w:rPr>
                <w:rFonts w:ascii="Calibri" w:eastAsia="Times New Roman" w:hAnsi="Calibri"/>
                <w:b/>
                <w:bCs/>
                <w:color w:val="000000"/>
                <w:sz w:val="20"/>
              </w:rPr>
              <w:t>LTE</w:t>
            </w:r>
          </w:p>
        </w:tc>
        <w:tc>
          <w:tcPr>
            <w:tcW w:w="2340" w:type="dxa"/>
            <w:tcBorders>
              <w:top w:val="single" w:sz="8" w:space="0" w:color="auto"/>
              <w:left w:val="nil"/>
              <w:bottom w:val="single" w:sz="8" w:space="0" w:color="auto"/>
              <w:right w:val="single" w:sz="8" w:space="0" w:color="auto"/>
            </w:tcBorders>
            <w:shd w:val="clear" w:color="auto" w:fill="auto"/>
            <w:noWrap/>
            <w:vAlign w:val="bottom"/>
            <w:hideMark/>
          </w:tcPr>
          <w:p w14:paraId="3374E56E" w14:textId="77777777" w:rsidR="006A282A" w:rsidRPr="006A282A" w:rsidRDefault="006A282A">
            <w:pPr>
              <w:jc w:val="center"/>
              <w:rPr>
                <w:rFonts w:ascii="Calibri" w:eastAsia="Times New Roman" w:hAnsi="Calibri"/>
                <w:b/>
                <w:bCs/>
                <w:color w:val="000000"/>
                <w:sz w:val="20"/>
              </w:rPr>
            </w:pPr>
            <w:r w:rsidRPr="006A282A">
              <w:rPr>
                <w:rFonts w:ascii="Calibri" w:eastAsia="Times New Roman" w:hAnsi="Calibri"/>
                <w:b/>
                <w:bCs/>
                <w:color w:val="000000"/>
                <w:sz w:val="20"/>
              </w:rPr>
              <w:t>NR</w:t>
            </w:r>
          </w:p>
        </w:tc>
      </w:tr>
      <w:tr w:rsidR="006A282A" w14:paraId="692CA237"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FCE4D6"/>
            <w:noWrap/>
            <w:vAlign w:val="bottom"/>
            <w:hideMark/>
          </w:tcPr>
          <w:p w14:paraId="5E3BD8CA"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Carrier Frequency</w:t>
            </w:r>
          </w:p>
        </w:tc>
        <w:tc>
          <w:tcPr>
            <w:tcW w:w="2353" w:type="dxa"/>
            <w:tcBorders>
              <w:top w:val="nil"/>
              <w:left w:val="nil"/>
              <w:bottom w:val="single" w:sz="4" w:space="0" w:color="auto"/>
              <w:right w:val="single" w:sz="4" w:space="0" w:color="auto"/>
            </w:tcBorders>
            <w:shd w:val="clear" w:color="000000" w:fill="FCE4D6"/>
            <w:noWrap/>
            <w:vAlign w:val="bottom"/>
            <w:hideMark/>
          </w:tcPr>
          <w:p w14:paraId="38F8AB61"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1.8GHz</w:t>
            </w:r>
          </w:p>
        </w:tc>
        <w:tc>
          <w:tcPr>
            <w:tcW w:w="2340" w:type="dxa"/>
            <w:tcBorders>
              <w:top w:val="nil"/>
              <w:left w:val="nil"/>
              <w:bottom w:val="single" w:sz="4" w:space="0" w:color="auto"/>
              <w:right w:val="single" w:sz="8" w:space="0" w:color="auto"/>
            </w:tcBorders>
            <w:shd w:val="clear" w:color="000000" w:fill="FCE4D6"/>
            <w:noWrap/>
            <w:vAlign w:val="bottom"/>
            <w:hideMark/>
          </w:tcPr>
          <w:p w14:paraId="36D37497" w14:textId="77777777" w:rsidR="006A282A" w:rsidRPr="006A282A" w:rsidRDefault="00DA0106">
            <w:pPr>
              <w:jc w:val="center"/>
              <w:rPr>
                <w:rFonts w:ascii="Calibri" w:eastAsia="Times New Roman" w:hAnsi="Calibri"/>
                <w:color w:val="000000"/>
                <w:sz w:val="20"/>
              </w:rPr>
            </w:pPr>
            <w:r>
              <w:rPr>
                <w:rFonts w:ascii="Calibri" w:eastAsia="Times New Roman" w:hAnsi="Calibri"/>
                <w:color w:val="000000"/>
                <w:sz w:val="20"/>
              </w:rPr>
              <w:t>above 3</w:t>
            </w:r>
            <w:r w:rsidR="006A282A" w:rsidRPr="006A282A">
              <w:rPr>
                <w:rFonts w:ascii="Calibri" w:eastAsia="Times New Roman" w:hAnsi="Calibri"/>
                <w:color w:val="000000"/>
                <w:sz w:val="20"/>
              </w:rPr>
              <w:t>GHz</w:t>
            </w:r>
          </w:p>
        </w:tc>
      </w:tr>
      <w:tr w:rsidR="006A282A" w14:paraId="08630671"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FCE4D6"/>
            <w:noWrap/>
            <w:vAlign w:val="bottom"/>
            <w:hideMark/>
          </w:tcPr>
          <w:p w14:paraId="7057FE41"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Aggregate System Bandwidth</w:t>
            </w:r>
          </w:p>
        </w:tc>
        <w:tc>
          <w:tcPr>
            <w:tcW w:w="2353" w:type="dxa"/>
            <w:tcBorders>
              <w:top w:val="nil"/>
              <w:left w:val="nil"/>
              <w:bottom w:val="single" w:sz="4" w:space="0" w:color="auto"/>
              <w:right w:val="single" w:sz="4" w:space="0" w:color="auto"/>
            </w:tcBorders>
            <w:shd w:val="clear" w:color="000000" w:fill="FCE4D6"/>
            <w:noWrap/>
            <w:vAlign w:val="bottom"/>
            <w:hideMark/>
          </w:tcPr>
          <w:p w14:paraId="7AC2017D"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10MHz</w:t>
            </w:r>
          </w:p>
        </w:tc>
        <w:tc>
          <w:tcPr>
            <w:tcW w:w="2340" w:type="dxa"/>
            <w:tcBorders>
              <w:top w:val="nil"/>
              <w:left w:val="nil"/>
              <w:bottom w:val="single" w:sz="4" w:space="0" w:color="auto"/>
              <w:right w:val="single" w:sz="8" w:space="0" w:color="auto"/>
            </w:tcBorders>
            <w:shd w:val="clear" w:color="000000" w:fill="FCE4D6"/>
            <w:noWrap/>
            <w:vAlign w:val="bottom"/>
            <w:hideMark/>
          </w:tcPr>
          <w:p w14:paraId="7FC01E9A"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80MHz</w:t>
            </w:r>
          </w:p>
        </w:tc>
      </w:tr>
      <w:tr w:rsidR="006A282A" w14:paraId="5405997C" w14:textId="77777777" w:rsidTr="00130D0E">
        <w:trPr>
          <w:trHeight w:val="102"/>
          <w:jc w:val="center"/>
        </w:trPr>
        <w:tc>
          <w:tcPr>
            <w:tcW w:w="2764" w:type="dxa"/>
            <w:tcBorders>
              <w:top w:val="nil"/>
              <w:left w:val="single" w:sz="8" w:space="0" w:color="auto"/>
              <w:bottom w:val="nil"/>
              <w:right w:val="single" w:sz="8" w:space="0" w:color="auto"/>
            </w:tcBorders>
            <w:shd w:val="clear" w:color="000000" w:fill="FCE4D6"/>
            <w:noWrap/>
            <w:vAlign w:val="bottom"/>
            <w:hideMark/>
          </w:tcPr>
          <w:p w14:paraId="59FAC057"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Thermal Noise Level</w:t>
            </w:r>
          </w:p>
        </w:tc>
        <w:tc>
          <w:tcPr>
            <w:tcW w:w="4693" w:type="dxa"/>
            <w:gridSpan w:val="2"/>
            <w:tcBorders>
              <w:top w:val="single" w:sz="4" w:space="0" w:color="auto"/>
              <w:left w:val="nil"/>
              <w:bottom w:val="nil"/>
              <w:right w:val="single" w:sz="8" w:space="0" w:color="000000"/>
            </w:tcBorders>
            <w:shd w:val="clear" w:color="000000" w:fill="FCE4D6"/>
            <w:noWrap/>
            <w:vAlign w:val="bottom"/>
            <w:hideMark/>
          </w:tcPr>
          <w:p w14:paraId="03B1B8A7"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-174dBm/Hz</w:t>
            </w:r>
          </w:p>
        </w:tc>
      </w:tr>
      <w:tr w:rsidR="006A282A" w14:paraId="482BB245" w14:textId="77777777" w:rsidTr="00130D0E">
        <w:trPr>
          <w:trHeight w:val="633"/>
          <w:jc w:val="center"/>
        </w:trPr>
        <w:tc>
          <w:tcPr>
            <w:tcW w:w="2764" w:type="dxa"/>
            <w:tcBorders>
              <w:top w:val="single" w:sz="4" w:space="0" w:color="auto"/>
              <w:left w:val="single" w:sz="8" w:space="0" w:color="auto"/>
              <w:bottom w:val="single" w:sz="4" w:space="0" w:color="auto"/>
              <w:right w:val="single" w:sz="8" w:space="0" w:color="auto"/>
            </w:tcBorders>
            <w:shd w:val="clear" w:color="000000" w:fill="FCE4D6"/>
            <w:noWrap/>
            <w:vAlign w:val="center"/>
            <w:hideMark/>
          </w:tcPr>
          <w:p w14:paraId="75DE1A70"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LTE Path Loss (d in meter)</w:t>
            </w:r>
          </w:p>
        </w:tc>
        <w:tc>
          <w:tcPr>
            <w:tcW w:w="4693" w:type="dxa"/>
            <w:gridSpan w:val="2"/>
            <w:tcBorders>
              <w:top w:val="single" w:sz="4" w:space="0" w:color="auto"/>
              <w:left w:val="nil"/>
              <w:bottom w:val="single" w:sz="4" w:space="0" w:color="auto"/>
              <w:right w:val="single" w:sz="8" w:space="0" w:color="000000"/>
            </w:tcBorders>
            <w:shd w:val="clear" w:color="000000" w:fill="FCE4D6"/>
            <w:vAlign w:val="bottom"/>
            <w:hideMark/>
          </w:tcPr>
          <w:p w14:paraId="64A92635" w14:textId="77777777" w:rsidR="006A282A" w:rsidRPr="006A282A" w:rsidRDefault="006A282A">
            <w:pPr>
              <w:rPr>
                <w:rFonts w:ascii="Calibri" w:eastAsia="Times New Roman" w:hAnsi="Calibri"/>
                <w:color w:val="000000"/>
                <w:sz w:val="20"/>
              </w:rPr>
            </w:pPr>
            <w:r w:rsidRPr="006A282A">
              <w:rPr>
                <w:rFonts w:ascii="Calibri" w:eastAsia="Times New Roman" w:hAnsi="Calibri"/>
                <w:color w:val="000000"/>
                <w:sz w:val="20"/>
              </w:rPr>
              <w:t xml:space="preserve">36.873, Assume </w:t>
            </w:r>
            <w:r w:rsidR="00484649" w:rsidRPr="006A282A">
              <w:rPr>
                <w:rFonts w:ascii="Calibri" w:eastAsia="Times New Roman" w:hAnsi="Calibri"/>
                <w:color w:val="000000"/>
                <w:sz w:val="20"/>
              </w:rPr>
              <w:t>bore side</w:t>
            </w:r>
            <w:r w:rsidRPr="006A282A">
              <w:rPr>
                <w:rFonts w:ascii="Calibri" w:eastAsia="Times New Roman" w:hAnsi="Calibri"/>
                <w:color w:val="000000"/>
                <w:sz w:val="20"/>
              </w:rPr>
              <w:t xml:space="preserve"> direction</w:t>
            </w:r>
            <w:r w:rsidRPr="006A282A">
              <w:rPr>
                <w:rFonts w:ascii="Calibri" w:eastAsia="Times New Roman" w:hAnsi="Calibri"/>
                <w:color w:val="000000"/>
                <w:sz w:val="20"/>
              </w:rPr>
              <w:br/>
              <w:t>PL = 22.0log10(d) + 28.0 + 20log10(fc</w:t>
            </w:r>
            <w:proofErr w:type="gramStart"/>
            <w:r w:rsidRPr="006A282A">
              <w:rPr>
                <w:rFonts w:ascii="Calibri" w:eastAsia="Times New Roman" w:hAnsi="Calibri"/>
                <w:color w:val="000000"/>
                <w:sz w:val="20"/>
              </w:rPr>
              <w:t>);  10</w:t>
            </w:r>
            <w:proofErr w:type="gramEnd"/>
            <w:r w:rsidRPr="006A282A">
              <w:rPr>
                <w:rFonts w:ascii="Calibri" w:eastAsia="Times New Roman" w:hAnsi="Calibri"/>
                <w:color w:val="000000"/>
                <w:sz w:val="20"/>
              </w:rPr>
              <w:t>m&lt;d&lt;288m</w:t>
            </w:r>
            <w:r w:rsidRPr="006A282A">
              <w:rPr>
                <w:rFonts w:ascii="Calibri" w:eastAsia="Times New Roman" w:hAnsi="Calibri"/>
                <w:color w:val="000000"/>
                <w:sz w:val="20"/>
              </w:rPr>
              <w:br/>
              <w:t xml:space="preserve">PL = 40log10(d)+28.0+20log10(fc) -44.3; </w:t>
            </w:r>
            <w:r>
              <w:rPr>
                <w:rFonts w:ascii="Calibri" w:eastAsia="Times New Roman" w:hAnsi="Calibri"/>
                <w:color w:val="000000"/>
                <w:sz w:val="20"/>
              </w:rPr>
              <w:t xml:space="preserve">    </w:t>
            </w:r>
            <w:r w:rsidRPr="006A282A">
              <w:rPr>
                <w:rFonts w:ascii="Calibri" w:eastAsia="Times New Roman" w:hAnsi="Calibri"/>
                <w:color w:val="000000"/>
                <w:sz w:val="20"/>
              </w:rPr>
              <w:t>d&gt;288m</w:t>
            </w:r>
          </w:p>
        </w:tc>
      </w:tr>
      <w:tr w:rsidR="006A282A" w14:paraId="71933D32"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FCE4D6"/>
            <w:noWrap/>
            <w:vAlign w:val="center"/>
            <w:hideMark/>
          </w:tcPr>
          <w:p w14:paraId="4F62D3F0"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LTE Penetration Loss</w:t>
            </w:r>
          </w:p>
        </w:tc>
        <w:tc>
          <w:tcPr>
            <w:tcW w:w="4693" w:type="dxa"/>
            <w:gridSpan w:val="2"/>
            <w:tcBorders>
              <w:top w:val="single" w:sz="4" w:space="0" w:color="auto"/>
              <w:left w:val="nil"/>
              <w:bottom w:val="single" w:sz="4" w:space="0" w:color="auto"/>
              <w:right w:val="single" w:sz="8" w:space="0" w:color="000000"/>
            </w:tcBorders>
            <w:shd w:val="clear" w:color="000000" w:fill="FCE4D6"/>
            <w:vAlign w:val="center"/>
            <w:hideMark/>
          </w:tcPr>
          <w:p w14:paraId="1D6973FC"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20dB</w:t>
            </w:r>
          </w:p>
        </w:tc>
      </w:tr>
      <w:tr w:rsidR="006A282A" w14:paraId="592F8F5B" w14:textId="77777777" w:rsidTr="00130D0E">
        <w:trPr>
          <w:trHeight w:val="120"/>
          <w:jc w:val="center"/>
        </w:trPr>
        <w:tc>
          <w:tcPr>
            <w:tcW w:w="2764" w:type="dxa"/>
            <w:tcBorders>
              <w:top w:val="nil"/>
              <w:left w:val="single" w:sz="8" w:space="0" w:color="auto"/>
              <w:bottom w:val="single" w:sz="8" w:space="0" w:color="auto"/>
              <w:right w:val="single" w:sz="8" w:space="0" w:color="auto"/>
            </w:tcBorders>
            <w:shd w:val="clear" w:color="000000" w:fill="FCE4D6"/>
            <w:noWrap/>
            <w:vAlign w:val="center"/>
            <w:hideMark/>
          </w:tcPr>
          <w:p w14:paraId="389F9F46"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lastRenderedPageBreak/>
              <w:t>NR P</w:t>
            </w:r>
            <w:r w:rsidR="00130D0E">
              <w:rPr>
                <w:rFonts w:ascii="Calibri" w:eastAsia="Times New Roman" w:hAnsi="Calibri"/>
                <w:b/>
                <w:bCs/>
                <w:color w:val="000000"/>
                <w:sz w:val="20"/>
              </w:rPr>
              <w:t xml:space="preserve">ath </w:t>
            </w:r>
            <w:r w:rsidRPr="006A282A">
              <w:rPr>
                <w:rFonts w:ascii="Calibri" w:eastAsia="Times New Roman" w:hAnsi="Calibri"/>
                <w:b/>
                <w:bCs/>
                <w:color w:val="000000"/>
                <w:sz w:val="20"/>
              </w:rPr>
              <w:t>L</w:t>
            </w:r>
            <w:r w:rsidR="00130D0E">
              <w:rPr>
                <w:rFonts w:ascii="Calibri" w:eastAsia="Times New Roman" w:hAnsi="Calibri"/>
                <w:b/>
                <w:bCs/>
                <w:color w:val="000000"/>
                <w:sz w:val="20"/>
              </w:rPr>
              <w:t>oss</w:t>
            </w:r>
          </w:p>
        </w:tc>
        <w:tc>
          <w:tcPr>
            <w:tcW w:w="4693" w:type="dxa"/>
            <w:gridSpan w:val="2"/>
            <w:tcBorders>
              <w:top w:val="single" w:sz="4" w:space="0" w:color="auto"/>
              <w:left w:val="nil"/>
              <w:bottom w:val="single" w:sz="8" w:space="0" w:color="auto"/>
              <w:right w:val="single" w:sz="8" w:space="0" w:color="000000"/>
            </w:tcBorders>
            <w:shd w:val="clear" w:color="000000" w:fill="FCE4D6"/>
            <w:vAlign w:val="center"/>
            <w:hideMark/>
          </w:tcPr>
          <w:p w14:paraId="5EAE20DC"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10</w:t>
            </w:r>
            <w:proofErr w:type="gramStart"/>
            <w:r w:rsidRPr="006A282A">
              <w:rPr>
                <w:rFonts w:ascii="Calibri" w:eastAsia="Times New Roman" w:hAnsi="Calibri"/>
                <w:color w:val="000000"/>
                <w:sz w:val="20"/>
              </w:rPr>
              <w:t>dB  worse</w:t>
            </w:r>
            <w:proofErr w:type="gramEnd"/>
            <w:r w:rsidRPr="006A282A">
              <w:rPr>
                <w:rFonts w:ascii="Calibri" w:eastAsia="Times New Roman" w:hAnsi="Calibri"/>
                <w:color w:val="000000"/>
                <w:sz w:val="20"/>
              </w:rPr>
              <w:t xml:space="preserve"> than LTE</w:t>
            </w:r>
          </w:p>
        </w:tc>
      </w:tr>
      <w:tr w:rsidR="006A282A" w14:paraId="23738C81"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109B846E"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UL Power Control </w:t>
            </w:r>
          </w:p>
        </w:tc>
        <w:tc>
          <w:tcPr>
            <w:tcW w:w="4693" w:type="dxa"/>
            <w:gridSpan w:val="2"/>
            <w:tcBorders>
              <w:top w:val="nil"/>
              <w:left w:val="nil"/>
              <w:bottom w:val="single" w:sz="4" w:space="0" w:color="auto"/>
              <w:right w:val="single" w:sz="8" w:space="0" w:color="000000"/>
            </w:tcBorders>
            <w:shd w:val="clear" w:color="000000" w:fill="D9D9D9"/>
            <w:noWrap/>
            <w:vAlign w:val="bottom"/>
            <w:hideMark/>
          </w:tcPr>
          <w:p w14:paraId="393438CB"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Target = 25dB over Thermal, Alpha = 0.9</w:t>
            </w:r>
          </w:p>
        </w:tc>
      </w:tr>
      <w:tr w:rsidR="006A282A" w14:paraId="5537114C"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22E1F2A7"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UE </w:t>
            </w:r>
            <w:proofErr w:type="spellStart"/>
            <w:r w:rsidRPr="006A282A">
              <w:rPr>
                <w:rFonts w:ascii="Calibri" w:eastAsia="Times New Roman" w:hAnsi="Calibri"/>
                <w:b/>
                <w:bCs/>
                <w:color w:val="000000"/>
                <w:sz w:val="20"/>
              </w:rPr>
              <w:t>Tx</w:t>
            </w:r>
            <w:proofErr w:type="spellEnd"/>
            <w:r w:rsidRPr="006A282A">
              <w:rPr>
                <w:rFonts w:ascii="Calibri" w:eastAsia="Times New Roman" w:hAnsi="Calibri"/>
                <w:b/>
                <w:bCs/>
                <w:color w:val="000000"/>
                <w:sz w:val="20"/>
              </w:rPr>
              <w:t xml:space="preserve"> Power</w:t>
            </w:r>
          </w:p>
        </w:tc>
        <w:tc>
          <w:tcPr>
            <w:tcW w:w="4693" w:type="dxa"/>
            <w:gridSpan w:val="2"/>
            <w:tcBorders>
              <w:top w:val="single" w:sz="4" w:space="0" w:color="auto"/>
              <w:left w:val="nil"/>
              <w:bottom w:val="single" w:sz="4" w:space="0" w:color="auto"/>
              <w:right w:val="single" w:sz="8" w:space="0" w:color="000000"/>
            </w:tcBorders>
            <w:shd w:val="clear" w:color="000000" w:fill="D9D9D9"/>
            <w:noWrap/>
            <w:vAlign w:val="bottom"/>
            <w:hideMark/>
          </w:tcPr>
          <w:p w14:paraId="5126B693"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23dBm</w:t>
            </w:r>
          </w:p>
        </w:tc>
      </w:tr>
      <w:tr w:rsidR="006A282A" w14:paraId="6717623E"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3C9F8007"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UE </w:t>
            </w:r>
            <w:proofErr w:type="spellStart"/>
            <w:r w:rsidRPr="006A282A">
              <w:rPr>
                <w:rFonts w:ascii="Calibri" w:eastAsia="Times New Roman" w:hAnsi="Calibri"/>
                <w:b/>
                <w:bCs/>
                <w:color w:val="000000"/>
                <w:sz w:val="20"/>
              </w:rPr>
              <w:t>Tx</w:t>
            </w:r>
            <w:proofErr w:type="spellEnd"/>
            <w:r w:rsidRPr="006A282A">
              <w:rPr>
                <w:rFonts w:ascii="Calibri" w:eastAsia="Times New Roman" w:hAnsi="Calibri"/>
                <w:b/>
                <w:bCs/>
                <w:color w:val="000000"/>
                <w:sz w:val="20"/>
              </w:rPr>
              <w:t xml:space="preserve"> Power Split in DC</w:t>
            </w:r>
          </w:p>
        </w:tc>
        <w:tc>
          <w:tcPr>
            <w:tcW w:w="2353" w:type="dxa"/>
            <w:tcBorders>
              <w:top w:val="nil"/>
              <w:left w:val="nil"/>
              <w:bottom w:val="single" w:sz="4" w:space="0" w:color="auto"/>
              <w:right w:val="single" w:sz="4" w:space="0" w:color="auto"/>
            </w:tcBorders>
            <w:shd w:val="clear" w:color="000000" w:fill="D9D9D9"/>
            <w:noWrap/>
            <w:vAlign w:val="bottom"/>
            <w:hideMark/>
          </w:tcPr>
          <w:p w14:paraId="4DFF6A34"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20dBm</w:t>
            </w:r>
          </w:p>
        </w:tc>
        <w:tc>
          <w:tcPr>
            <w:tcW w:w="2340" w:type="dxa"/>
            <w:tcBorders>
              <w:top w:val="nil"/>
              <w:left w:val="nil"/>
              <w:bottom w:val="single" w:sz="4" w:space="0" w:color="auto"/>
              <w:right w:val="single" w:sz="8" w:space="0" w:color="auto"/>
            </w:tcBorders>
            <w:shd w:val="clear" w:color="000000" w:fill="D9D9D9"/>
            <w:noWrap/>
            <w:vAlign w:val="bottom"/>
            <w:hideMark/>
          </w:tcPr>
          <w:p w14:paraId="5A9A28AD"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20dBm</w:t>
            </w:r>
          </w:p>
        </w:tc>
      </w:tr>
      <w:tr w:rsidR="006A282A" w14:paraId="06F909F7"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0720C5DC"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UE Receiver Noise figure </w:t>
            </w:r>
          </w:p>
        </w:tc>
        <w:tc>
          <w:tcPr>
            <w:tcW w:w="4693" w:type="dxa"/>
            <w:gridSpan w:val="2"/>
            <w:tcBorders>
              <w:top w:val="single" w:sz="4" w:space="0" w:color="auto"/>
              <w:left w:val="nil"/>
              <w:bottom w:val="single" w:sz="4" w:space="0" w:color="auto"/>
              <w:right w:val="single" w:sz="8" w:space="0" w:color="000000"/>
            </w:tcBorders>
            <w:shd w:val="clear" w:color="000000" w:fill="D9D9D9"/>
            <w:noWrap/>
            <w:vAlign w:val="bottom"/>
            <w:hideMark/>
          </w:tcPr>
          <w:p w14:paraId="0F533A87"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9dB</w:t>
            </w:r>
          </w:p>
        </w:tc>
      </w:tr>
      <w:tr w:rsidR="006A282A" w14:paraId="0F1D3EC7"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D9D9D9"/>
            <w:noWrap/>
            <w:vAlign w:val="bottom"/>
            <w:hideMark/>
          </w:tcPr>
          <w:p w14:paraId="1AFFEFB2"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UE Antenna </w:t>
            </w:r>
            <w:proofErr w:type="spellStart"/>
            <w:r w:rsidRPr="006A282A">
              <w:rPr>
                <w:rFonts w:ascii="Calibri" w:eastAsia="Times New Roman" w:hAnsi="Calibri"/>
                <w:b/>
                <w:bCs/>
                <w:color w:val="000000"/>
                <w:sz w:val="20"/>
              </w:rPr>
              <w:t>Config</w:t>
            </w:r>
            <w:proofErr w:type="spellEnd"/>
            <w:r w:rsidR="007C2E19">
              <w:rPr>
                <w:rFonts w:ascii="Calibri" w:eastAsia="Times New Roman" w:hAnsi="Calibri"/>
                <w:b/>
                <w:bCs/>
                <w:color w:val="000000"/>
                <w:sz w:val="20"/>
              </w:rPr>
              <w:t>.</w:t>
            </w:r>
          </w:p>
        </w:tc>
        <w:tc>
          <w:tcPr>
            <w:tcW w:w="2353" w:type="dxa"/>
            <w:tcBorders>
              <w:top w:val="nil"/>
              <w:left w:val="nil"/>
              <w:bottom w:val="single" w:sz="4" w:space="0" w:color="auto"/>
              <w:right w:val="single" w:sz="4" w:space="0" w:color="auto"/>
            </w:tcBorders>
            <w:shd w:val="clear" w:color="000000" w:fill="D9D9D9"/>
            <w:noWrap/>
            <w:vAlign w:val="bottom"/>
            <w:hideMark/>
          </w:tcPr>
          <w:p w14:paraId="679B4485"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1Tx/2Rx</w:t>
            </w:r>
          </w:p>
        </w:tc>
        <w:tc>
          <w:tcPr>
            <w:tcW w:w="2340" w:type="dxa"/>
            <w:tcBorders>
              <w:top w:val="nil"/>
              <w:left w:val="nil"/>
              <w:bottom w:val="single" w:sz="4" w:space="0" w:color="auto"/>
              <w:right w:val="single" w:sz="8" w:space="0" w:color="auto"/>
            </w:tcBorders>
            <w:shd w:val="clear" w:color="000000" w:fill="D9D9D9"/>
            <w:noWrap/>
            <w:vAlign w:val="bottom"/>
            <w:hideMark/>
          </w:tcPr>
          <w:p w14:paraId="4AA09FBF"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2Tx/4Rx</w:t>
            </w:r>
          </w:p>
        </w:tc>
      </w:tr>
      <w:tr w:rsidR="006A282A" w14:paraId="44BD5FB4" w14:textId="77777777" w:rsidTr="00363F7D">
        <w:trPr>
          <w:trHeight w:val="340"/>
          <w:jc w:val="center"/>
        </w:trPr>
        <w:tc>
          <w:tcPr>
            <w:tcW w:w="2764" w:type="dxa"/>
            <w:tcBorders>
              <w:top w:val="nil"/>
              <w:left w:val="single" w:sz="8" w:space="0" w:color="auto"/>
              <w:bottom w:val="single" w:sz="8" w:space="0" w:color="auto"/>
              <w:right w:val="single" w:sz="8" w:space="0" w:color="auto"/>
            </w:tcBorders>
            <w:shd w:val="clear" w:color="000000" w:fill="D9D9D9"/>
            <w:noWrap/>
            <w:vAlign w:val="bottom"/>
            <w:hideMark/>
          </w:tcPr>
          <w:p w14:paraId="6FFE0A58"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UE Antenna Gain</w:t>
            </w:r>
          </w:p>
        </w:tc>
        <w:tc>
          <w:tcPr>
            <w:tcW w:w="4693" w:type="dxa"/>
            <w:gridSpan w:val="2"/>
            <w:tcBorders>
              <w:top w:val="single" w:sz="4" w:space="0" w:color="auto"/>
              <w:left w:val="nil"/>
              <w:bottom w:val="single" w:sz="8" w:space="0" w:color="auto"/>
              <w:right w:val="single" w:sz="8" w:space="0" w:color="000000"/>
            </w:tcBorders>
            <w:shd w:val="clear" w:color="000000" w:fill="D9D9D9"/>
            <w:noWrap/>
            <w:vAlign w:val="bottom"/>
            <w:hideMark/>
          </w:tcPr>
          <w:p w14:paraId="7FDFB8B1"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0dBi</w:t>
            </w:r>
          </w:p>
        </w:tc>
      </w:tr>
      <w:tr w:rsidR="006A282A" w14:paraId="33134941"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B4C6E7"/>
            <w:noWrap/>
            <w:vAlign w:val="bottom"/>
            <w:hideMark/>
          </w:tcPr>
          <w:p w14:paraId="300D4A8B"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BS </w:t>
            </w:r>
            <w:proofErr w:type="spellStart"/>
            <w:r w:rsidRPr="006A282A">
              <w:rPr>
                <w:rFonts w:ascii="Calibri" w:eastAsia="Times New Roman" w:hAnsi="Calibri"/>
                <w:b/>
                <w:bCs/>
                <w:color w:val="000000"/>
                <w:sz w:val="20"/>
              </w:rPr>
              <w:t>Tx</w:t>
            </w:r>
            <w:proofErr w:type="spellEnd"/>
            <w:r w:rsidRPr="006A282A">
              <w:rPr>
                <w:rFonts w:ascii="Calibri" w:eastAsia="Times New Roman" w:hAnsi="Calibri"/>
                <w:b/>
                <w:bCs/>
                <w:color w:val="000000"/>
                <w:sz w:val="20"/>
              </w:rPr>
              <w:t xml:space="preserve"> Power </w:t>
            </w:r>
          </w:p>
        </w:tc>
        <w:tc>
          <w:tcPr>
            <w:tcW w:w="4693" w:type="dxa"/>
            <w:gridSpan w:val="2"/>
            <w:tcBorders>
              <w:top w:val="single" w:sz="8" w:space="0" w:color="auto"/>
              <w:left w:val="nil"/>
              <w:bottom w:val="single" w:sz="4" w:space="0" w:color="auto"/>
              <w:right w:val="single" w:sz="8" w:space="0" w:color="000000"/>
            </w:tcBorders>
            <w:shd w:val="clear" w:color="000000" w:fill="B4C6E7"/>
            <w:noWrap/>
            <w:vAlign w:val="bottom"/>
            <w:hideMark/>
          </w:tcPr>
          <w:p w14:paraId="08F17B49"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49dBm</w:t>
            </w:r>
          </w:p>
        </w:tc>
      </w:tr>
      <w:tr w:rsidR="006A282A" w14:paraId="1DD15839"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B4C6E7"/>
            <w:noWrap/>
            <w:vAlign w:val="bottom"/>
            <w:hideMark/>
          </w:tcPr>
          <w:p w14:paraId="05EE2320"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 xml:space="preserve">BS Receiver Noise Figure </w:t>
            </w:r>
          </w:p>
        </w:tc>
        <w:tc>
          <w:tcPr>
            <w:tcW w:w="4693" w:type="dxa"/>
            <w:gridSpan w:val="2"/>
            <w:tcBorders>
              <w:top w:val="single" w:sz="4" w:space="0" w:color="auto"/>
              <w:left w:val="nil"/>
              <w:bottom w:val="single" w:sz="4" w:space="0" w:color="auto"/>
              <w:right w:val="single" w:sz="8" w:space="0" w:color="000000"/>
            </w:tcBorders>
            <w:shd w:val="clear" w:color="000000" w:fill="B4C6E7"/>
            <w:noWrap/>
            <w:vAlign w:val="bottom"/>
            <w:hideMark/>
          </w:tcPr>
          <w:p w14:paraId="1BC6344E"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5dB</w:t>
            </w:r>
          </w:p>
        </w:tc>
      </w:tr>
      <w:tr w:rsidR="006A282A" w14:paraId="2E16BF12"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B4C6E7"/>
            <w:noWrap/>
            <w:vAlign w:val="bottom"/>
            <w:hideMark/>
          </w:tcPr>
          <w:p w14:paraId="03324BEA"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BS Antenna Elements Gain</w:t>
            </w:r>
          </w:p>
        </w:tc>
        <w:tc>
          <w:tcPr>
            <w:tcW w:w="4693" w:type="dxa"/>
            <w:gridSpan w:val="2"/>
            <w:tcBorders>
              <w:top w:val="single" w:sz="4" w:space="0" w:color="auto"/>
              <w:left w:val="nil"/>
              <w:bottom w:val="single" w:sz="4" w:space="0" w:color="auto"/>
              <w:right w:val="single" w:sz="8" w:space="0" w:color="000000"/>
            </w:tcBorders>
            <w:shd w:val="clear" w:color="000000" w:fill="B4C6E7"/>
            <w:noWrap/>
            <w:vAlign w:val="bottom"/>
            <w:hideMark/>
          </w:tcPr>
          <w:p w14:paraId="3B97153E"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8dBi</w:t>
            </w:r>
          </w:p>
        </w:tc>
      </w:tr>
      <w:tr w:rsidR="006A282A" w14:paraId="44315DE1" w14:textId="77777777" w:rsidTr="00363F7D">
        <w:trPr>
          <w:trHeight w:val="320"/>
          <w:jc w:val="center"/>
        </w:trPr>
        <w:tc>
          <w:tcPr>
            <w:tcW w:w="2764" w:type="dxa"/>
            <w:tcBorders>
              <w:top w:val="nil"/>
              <w:left w:val="single" w:sz="8" w:space="0" w:color="auto"/>
              <w:bottom w:val="single" w:sz="4" w:space="0" w:color="auto"/>
              <w:right w:val="single" w:sz="8" w:space="0" w:color="auto"/>
            </w:tcBorders>
            <w:shd w:val="clear" w:color="000000" w:fill="B4C6E7"/>
            <w:noWrap/>
            <w:vAlign w:val="bottom"/>
            <w:hideMark/>
          </w:tcPr>
          <w:p w14:paraId="39ACF453"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#BS Antenna Elements</w:t>
            </w:r>
          </w:p>
        </w:tc>
        <w:tc>
          <w:tcPr>
            <w:tcW w:w="2353" w:type="dxa"/>
            <w:tcBorders>
              <w:top w:val="nil"/>
              <w:left w:val="nil"/>
              <w:bottom w:val="single" w:sz="4" w:space="0" w:color="auto"/>
              <w:right w:val="single" w:sz="4" w:space="0" w:color="auto"/>
            </w:tcBorders>
            <w:shd w:val="clear" w:color="000000" w:fill="B4C6E7"/>
            <w:noWrap/>
            <w:vAlign w:val="bottom"/>
            <w:hideMark/>
          </w:tcPr>
          <w:p w14:paraId="3B25E560"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64</w:t>
            </w:r>
          </w:p>
        </w:tc>
        <w:tc>
          <w:tcPr>
            <w:tcW w:w="2340" w:type="dxa"/>
            <w:tcBorders>
              <w:top w:val="nil"/>
              <w:left w:val="nil"/>
              <w:bottom w:val="single" w:sz="4" w:space="0" w:color="auto"/>
              <w:right w:val="single" w:sz="8" w:space="0" w:color="auto"/>
            </w:tcBorders>
            <w:shd w:val="clear" w:color="000000" w:fill="B4C6E7"/>
            <w:noWrap/>
            <w:vAlign w:val="bottom"/>
            <w:hideMark/>
          </w:tcPr>
          <w:p w14:paraId="37DD69D2"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256</w:t>
            </w:r>
          </w:p>
        </w:tc>
      </w:tr>
      <w:tr w:rsidR="006A282A" w14:paraId="0689544B" w14:textId="77777777" w:rsidTr="00363F7D">
        <w:trPr>
          <w:trHeight w:val="340"/>
          <w:jc w:val="center"/>
        </w:trPr>
        <w:tc>
          <w:tcPr>
            <w:tcW w:w="2764" w:type="dxa"/>
            <w:tcBorders>
              <w:top w:val="nil"/>
              <w:left w:val="single" w:sz="8" w:space="0" w:color="auto"/>
              <w:bottom w:val="single" w:sz="8" w:space="0" w:color="auto"/>
              <w:right w:val="single" w:sz="8" w:space="0" w:color="auto"/>
            </w:tcBorders>
            <w:shd w:val="clear" w:color="000000" w:fill="B4C6E7"/>
            <w:noWrap/>
            <w:vAlign w:val="bottom"/>
            <w:hideMark/>
          </w:tcPr>
          <w:p w14:paraId="34EB4A3E" w14:textId="77777777" w:rsidR="006A282A" w:rsidRPr="006A282A" w:rsidRDefault="006A282A">
            <w:pPr>
              <w:rPr>
                <w:rFonts w:ascii="Calibri" w:eastAsia="Times New Roman" w:hAnsi="Calibri"/>
                <w:b/>
                <w:bCs/>
                <w:color w:val="000000"/>
                <w:sz w:val="20"/>
              </w:rPr>
            </w:pPr>
            <w:r w:rsidRPr="006A282A">
              <w:rPr>
                <w:rFonts w:ascii="Calibri" w:eastAsia="Times New Roman" w:hAnsi="Calibri"/>
                <w:b/>
                <w:bCs/>
                <w:color w:val="000000"/>
                <w:sz w:val="20"/>
              </w:rPr>
              <w:t>BS Antenna Configuration</w:t>
            </w:r>
          </w:p>
        </w:tc>
        <w:tc>
          <w:tcPr>
            <w:tcW w:w="2353" w:type="dxa"/>
            <w:tcBorders>
              <w:top w:val="nil"/>
              <w:left w:val="nil"/>
              <w:bottom w:val="single" w:sz="8" w:space="0" w:color="auto"/>
              <w:right w:val="single" w:sz="4" w:space="0" w:color="auto"/>
            </w:tcBorders>
            <w:shd w:val="clear" w:color="000000" w:fill="B4C6E7"/>
            <w:noWrap/>
            <w:vAlign w:val="bottom"/>
            <w:hideMark/>
          </w:tcPr>
          <w:p w14:paraId="418C0DA1"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2Tx/2Rx</w:t>
            </w:r>
          </w:p>
        </w:tc>
        <w:tc>
          <w:tcPr>
            <w:tcW w:w="2340" w:type="dxa"/>
            <w:tcBorders>
              <w:top w:val="nil"/>
              <w:left w:val="nil"/>
              <w:bottom w:val="single" w:sz="8" w:space="0" w:color="auto"/>
              <w:right w:val="single" w:sz="8" w:space="0" w:color="auto"/>
            </w:tcBorders>
            <w:shd w:val="clear" w:color="000000" w:fill="B4C6E7"/>
            <w:noWrap/>
            <w:vAlign w:val="bottom"/>
            <w:hideMark/>
          </w:tcPr>
          <w:p w14:paraId="34F3C2EA" w14:textId="77777777" w:rsidR="006A282A" w:rsidRPr="006A282A" w:rsidRDefault="006A282A">
            <w:pPr>
              <w:jc w:val="center"/>
              <w:rPr>
                <w:rFonts w:ascii="Calibri" w:eastAsia="Times New Roman" w:hAnsi="Calibri"/>
                <w:color w:val="000000"/>
                <w:sz w:val="20"/>
              </w:rPr>
            </w:pPr>
            <w:r w:rsidRPr="006A282A">
              <w:rPr>
                <w:rFonts w:ascii="Calibri" w:eastAsia="Times New Roman" w:hAnsi="Calibri"/>
                <w:color w:val="000000"/>
                <w:sz w:val="20"/>
              </w:rPr>
              <w:t>32Tx/32Rx</w:t>
            </w:r>
          </w:p>
        </w:tc>
      </w:tr>
    </w:tbl>
    <w:p w14:paraId="5D736715" w14:textId="77777777" w:rsidR="00B04DD2" w:rsidRDefault="00B04DD2" w:rsidP="006C590F">
      <w:pPr>
        <w:jc w:val="both"/>
        <w:rPr>
          <w:sz w:val="20"/>
          <w:szCs w:val="20"/>
        </w:rPr>
      </w:pPr>
    </w:p>
    <w:p w14:paraId="2F46866B" w14:textId="77777777" w:rsidR="00A14B72" w:rsidRDefault="005402C0" w:rsidP="006C590F">
      <w:pPr>
        <w:jc w:val="both"/>
        <w:rPr>
          <w:sz w:val="20"/>
          <w:szCs w:val="20"/>
        </w:rPr>
      </w:pPr>
      <w:r>
        <w:rPr>
          <w:sz w:val="20"/>
          <w:szCs w:val="20"/>
        </w:rPr>
        <w:t>Next, we discuss the assumption on the DL and UL transmission configuration for LTE and NR, we assume</w:t>
      </w:r>
    </w:p>
    <w:p w14:paraId="3F9F7F07" w14:textId="77777777" w:rsidR="005402C0" w:rsidRDefault="005402C0" w:rsidP="006C590F">
      <w:pPr>
        <w:jc w:val="both"/>
        <w:rPr>
          <w:sz w:val="20"/>
          <w:szCs w:val="20"/>
        </w:rPr>
      </w:pPr>
    </w:p>
    <w:p w14:paraId="64D9064F" w14:textId="77777777" w:rsidR="005402C0" w:rsidRDefault="005402C0" w:rsidP="005402C0">
      <w:pPr>
        <w:numPr>
          <w:ilvl w:val="0"/>
          <w:numId w:val="42"/>
        </w:numPr>
        <w:jc w:val="both"/>
        <w:rPr>
          <w:sz w:val="20"/>
          <w:szCs w:val="20"/>
        </w:rPr>
      </w:pPr>
      <w:r>
        <w:rPr>
          <w:sz w:val="20"/>
          <w:szCs w:val="20"/>
        </w:rPr>
        <w:t>LTE is FDD deployment with dedicated UL and DL carrier</w:t>
      </w:r>
    </w:p>
    <w:p w14:paraId="74D3EB93" w14:textId="77777777" w:rsidR="005402C0" w:rsidRDefault="005402C0" w:rsidP="005402C0">
      <w:pPr>
        <w:numPr>
          <w:ilvl w:val="0"/>
          <w:numId w:val="42"/>
        </w:numPr>
        <w:jc w:val="both"/>
        <w:rPr>
          <w:sz w:val="20"/>
          <w:szCs w:val="20"/>
        </w:rPr>
      </w:pPr>
      <w:r>
        <w:rPr>
          <w:sz w:val="20"/>
          <w:szCs w:val="20"/>
        </w:rPr>
        <w:t xml:space="preserve">NR is TDD deployment, with DL and UL slot ratio </w:t>
      </w:r>
      <w:r w:rsidR="006F4D8E">
        <w:rPr>
          <w:sz w:val="20"/>
          <w:szCs w:val="20"/>
        </w:rPr>
        <w:t>of</w:t>
      </w:r>
      <w:r>
        <w:rPr>
          <w:sz w:val="20"/>
          <w:szCs w:val="20"/>
        </w:rPr>
        <w:t xml:space="preserve"> 6:4, i.e. 60% slots for DL transmission and 40% slots for UL transmission</w:t>
      </w:r>
    </w:p>
    <w:p w14:paraId="01014F4E" w14:textId="77777777" w:rsidR="005402C0" w:rsidRDefault="005402C0" w:rsidP="005402C0">
      <w:pPr>
        <w:jc w:val="both"/>
        <w:rPr>
          <w:sz w:val="20"/>
          <w:szCs w:val="20"/>
        </w:rPr>
      </w:pPr>
    </w:p>
    <w:p w14:paraId="2A4C2234" w14:textId="77777777" w:rsidR="005402C0" w:rsidRDefault="005402C0" w:rsidP="005402C0">
      <w:pPr>
        <w:jc w:val="both"/>
        <w:rPr>
          <w:sz w:val="20"/>
          <w:szCs w:val="20"/>
        </w:rPr>
      </w:pPr>
      <w:r>
        <w:rPr>
          <w:sz w:val="20"/>
          <w:szCs w:val="20"/>
        </w:rPr>
        <w:t xml:space="preserve">Given this assumption, we have </w:t>
      </w:r>
      <w:r w:rsidR="00E46DDB">
        <w:rPr>
          <w:sz w:val="20"/>
          <w:szCs w:val="20"/>
        </w:rPr>
        <w:t xml:space="preserve">the </w:t>
      </w:r>
      <w:r>
        <w:rPr>
          <w:sz w:val="20"/>
          <w:szCs w:val="20"/>
        </w:rPr>
        <w:t>following setting</w:t>
      </w:r>
      <w:r w:rsidR="00E46DDB">
        <w:rPr>
          <w:sz w:val="20"/>
          <w:szCs w:val="20"/>
        </w:rPr>
        <w:t>s</w:t>
      </w:r>
      <w:r>
        <w:rPr>
          <w:sz w:val="20"/>
          <w:szCs w:val="20"/>
        </w:rPr>
        <w:t xml:space="preserve"> for dual UL transmission and single UL transmission as illustrated in Figure 2</w:t>
      </w:r>
    </w:p>
    <w:p w14:paraId="45C8E794" w14:textId="77777777" w:rsidR="005402C0" w:rsidRDefault="005402C0" w:rsidP="005402C0">
      <w:pPr>
        <w:jc w:val="both"/>
        <w:rPr>
          <w:sz w:val="20"/>
          <w:szCs w:val="20"/>
        </w:rPr>
      </w:pPr>
    </w:p>
    <w:p w14:paraId="4768F112" w14:textId="77777777" w:rsidR="00D74277" w:rsidRDefault="00D74277" w:rsidP="005402C0">
      <w:pPr>
        <w:numPr>
          <w:ilvl w:val="0"/>
          <w:numId w:val="43"/>
        </w:numPr>
        <w:jc w:val="both"/>
        <w:rPr>
          <w:sz w:val="20"/>
          <w:szCs w:val="20"/>
        </w:rPr>
      </w:pPr>
      <w:r>
        <w:rPr>
          <w:sz w:val="20"/>
          <w:szCs w:val="20"/>
        </w:rPr>
        <w:t xml:space="preserve">Dual Uplink: For 40% of slots, it is simultaneous LTE and NR uplink transmission. For the rest 60% slots, it is LTE only uplink transmission as NR is in </w:t>
      </w:r>
      <w:r w:rsidR="006F4D8E">
        <w:rPr>
          <w:sz w:val="20"/>
          <w:szCs w:val="20"/>
        </w:rPr>
        <w:t xml:space="preserve">TDD </w:t>
      </w:r>
      <w:r>
        <w:rPr>
          <w:sz w:val="20"/>
          <w:szCs w:val="20"/>
        </w:rPr>
        <w:t>DL operation</w:t>
      </w:r>
    </w:p>
    <w:p w14:paraId="1FF508AC" w14:textId="77777777" w:rsidR="005402C0" w:rsidRDefault="00D74277" w:rsidP="005402C0">
      <w:pPr>
        <w:numPr>
          <w:ilvl w:val="0"/>
          <w:numId w:val="43"/>
        </w:numPr>
        <w:jc w:val="both"/>
        <w:rPr>
          <w:sz w:val="20"/>
          <w:szCs w:val="20"/>
        </w:rPr>
      </w:pPr>
      <w:r>
        <w:rPr>
          <w:sz w:val="20"/>
          <w:szCs w:val="20"/>
        </w:rPr>
        <w:t xml:space="preserve">Single Uplink: For 40% of slots, it is </w:t>
      </w:r>
      <w:r w:rsidR="002D72B6">
        <w:rPr>
          <w:sz w:val="20"/>
          <w:szCs w:val="20"/>
        </w:rPr>
        <w:t>NR</w:t>
      </w:r>
      <w:r>
        <w:rPr>
          <w:sz w:val="20"/>
          <w:szCs w:val="20"/>
        </w:rPr>
        <w:t xml:space="preserve"> uplink transmission. For the rest 60% slots, it is LTE uplink transmission</w:t>
      </w:r>
      <w:r w:rsidR="000C4736">
        <w:rPr>
          <w:sz w:val="20"/>
          <w:szCs w:val="20"/>
        </w:rPr>
        <w:t>.</w:t>
      </w:r>
    </w:p>
    <w:p w14:paraId="165A6CC1" w14:textId="77777777" w:rsidR="001C73A8" w:rsidRDefault="003F5328" w:rsidP="001C73A8">
      <w:pPr>
        <w:keepNext/>
        <w:jc w:val="center"/>
      </w:pPr>
      <w:r w:rsidRPr="001C73A8">
        <w:rPr>
          <w:noProof/>
          <w:sz w:val="20"/>
          <w:szCs w:val="20"/>
          <w:lang w:eastAsia="en-US"/>
        </w:rPr>
        <w:drawing>
          <wp:inline distT="0" distB="0" distL="0" distR="0" wp14:anchorId="50564677" wp14:editId="18DA33B3">
            <wp:extent cx="5242560" cy="3522345"/>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2560" cy="3522345"/>
                    </a:xfrm>
                    <a:prstGeom prst="rect">
                      <a:avLst/>
                    </a:prstGeom>
                    <a:noFill/>
                    <a:ln>
                      <a:noFill/>
                    </a:ln>
                  </pic:spPr>
                </pic:pic>
              </a:graphicData>
            </a:graphic>
          </wp:inline>
        </w:drawing>
      </w:r>
    </w:p>
    <w:p w14:paraId="260AD96B" w14:textId="77777777" w:rsidR="001C73A8" w:rsidRPr="006B1D6F" w:rsidRDefault="001C73A8" w:rsidP="001C73A8">
      <w:pPr>
        <w:pStyle w:val="Caption"/>
        <w:rPr>
          <w:sz w:val="20"/>
          <w:szCs w:val="20"/>
        </w:rPr>
      </w:pPr>
      <w:r w:rsidRPr="006B1D6F">
        <w:rPr>
          <w:sz w:val="20"/>
          <w:szCs w:val="20"/>
        </w:rPr>
        <w:t xml:space="preserve">Figure </w:t>
      </w:r>
      <w:r w:rsidRPr="006B1D6F">
        <w:rPr>
          <w:sz w:val="20"/>
          <w:szCs w:val="20"/>
        </w:rPr>
        <w:fldChar w:fldCharType="begin"/>
      </w:r>
      <w:r w:rsidRPr="006B1D6F">
        <w:rPr>
          <w:sz w:val="20"/>
          <w:szCs w:val="20"/>
        </w:rPr>
        <w:instrText xml:space="preserve"> SEQ Figure \* ARABIC </w:instrText>
      </w:r>
      <w:r w:rsidRPr="006B1D6F">
        <w:rPr>
          <w:sz w:val="20"/>
          <w:szCs w:val="20"/>
        </w:rPr>
        <w:fldChar w:fldCharType="separate"/>
      </w:r>
      <w:r w:rsidR="00934191" w:rsidRPr="006B1D6F">
        <w:rPr>
          <w:noProof/>
          <w:sz w:val="20"/>
          <w:szCs w:val="20"/>
        </w:rPr>
        <w:t>3</w:t>
      </w:r>
      <w:r w:rsidRPr="006B1D6F">
        <w:rPr>
          <w:sz w:val="20"/>
          <w:szCs w:val="20"/>
        </w:rPr>
        <w:fldChar w:fldCharType="end"/>
      </w:r>
      <w:r w:rsidRPr="006B1D6F">
        <w:rPr>
          <w:sz w:val="20"/>
          <w:szCs w:val="20"/>
        </w:rPr>
        <w:t xml:space="preserve"> LTE and NR UL Transmission Configuration for Dual and Single UL</w:t>
      </w:r>
    </w:p>
    <w:p w14:paraId="0943A548" w14:textId="77777777" w:rsidR="00A14B72" w:rsidRDefault="00A14B72" w:rsidP="006C590F">
      <w:pPr>
        <w:jc w:val="both"/>
        <w:rPr>
          <w:sz w:val="20"/>
          <w:szCs w:val="20"/>
        </w:rPr>
      </w:pPr>
      <w:r>
        <w:rPr>
          <w:sz w:val="20"/>
          <w:szCs w:val="20"/>
        </w:rPr>
        <w:t xml:space="preserve">Before going into the detailed simulation results, there are a few highlight we would like to point out </w:t>
      </w:r>
      <w:r w:rsidR="00F218FA">
        <w:rPr>
          <w:sz w:val="20"/>
          <w:szCs w:val="20"/>
        </w:rPr>
        <w:t>regarding</w:t>
      </w:r>
      <w:r>
        <w:rPr>
          <w:sz w:val="20"/>
          <w:szCs w:val="20"/>
        </w:rPr>
        <w:t xml:space="preserve"> the LTE and NR deployment difference</w:t>
      </w:r>
    </w:p>
    <w:p w14:paraId="0328729B" w14:textId="77777777" w:rsidR="00B86D1E" w:rsidRDefault="00B86D1E" w:rsidP="006C590F">
      <w:pPr>
        <w:jc w:val="both"/>
        <w:rPr>
          <w:sz w:val="20"/>
          <w:szCs w:val="20"/>
        </w:rPr>
      </w:pPr>
    </w:p>
    <w:p w14:paraId="41C167AB" w14:textId="77777777" w:rsidR="00A14B72" w:rsidRDefault="00A14B72" w:rsidP="00A14B72">
      <w:pPr>
        <w:numPr>
          <w:ilvl w:val="0"/>
          <w:numId w:val="37"/>
        </w:numPr>
        <w:jc w:val="both"/>
        <w:rPr>
          <w:sz w:val="20"/>
          <w:szCs w:val="20"/>
        </w:rPr>
      </w:pPr>
      <w:r>
        <w:rPr>
          <w:sz w:val="20"/>
          <w:szCs w:val="20"/>
        </w:rPr>
        <w:lastRenderedPageBreak/>
        <w:t xml:space="preserve">NR carrier </w:t>
      </w:r>
      <w:r w:rsidR="00C02236">
        <w:rPr>
          <w:sz w:val="20"/>
          <w:szCs w:val="20"/>
        </w:rPr>
        <w:t>experiences</w:t>
      </w:r>
      <w:r>
        <w:rPr>
          <w:sz w:val="20"/>
          <w:szCs w:val="20"/>
        </w:rPr>
        <w:t xml:space="preserve"> higher </w:t>
      </w:r>
      <w:r w:rsidR="00DA0106">
        <w:rPr>
          <w:sz w:val="20"/>
          <w:szCs w:val="20"/>
        </w:rPr>
        <w:t>path loss</w:t>
      </w:r>
      <w:r>
        <w:rPr>
          <w:sz w:val="20"/>
          <w:szCs w:val="20"/>
        </w:rPr>
        <w:t xml:space="preserve"> compare</w:t>
      </w:r>
      <w:r w:rsidR="00560280">
        <w:rPr>
          <w:sz w:val="20"/>
          <w:szCs w:val="20"/>
        </w:rPr>
        <w:t>d</w:t>
      </w:r>
      <w:r>
        <w:rPr>
          <w:sz w:val="20"/>
          <w:szCs w:val="20"/>
        </w:rPr>
        <w:t xml:space="preserve"> to LTE carrier due to the fact that it is at higher frequency band. </w:t>
      </w:r>
    </w:p>
    <w:p w14:paraId="33B2F047" w14:textId="77777777" w:rsidR="00A14B72" w:rsidRDefault="00A14B72" w:rsidP="00A14B72">
      <w:pPr>
        <w:numPr>
          <w:ilvl w:val="0"/>
          <w:numId w:val="37"/>
        </w:numPr>
        <w:jc w:val="both"/>
        <w:rPr>
          <w:sz w:val="20"/>
          <w:szCs w:val="20"/>
        </w:rPr>
      </w:pPr>
      <w:r>
        <w:rPr>
          <w:sz w:val="20"/>
          <w:szCs w:val="20"/>
        </w:rPr>
        <w:t>NR deployment can have wider bandwidth compare</w:t>
      </w:r>
      <w:r w:rsidR="00560280">
        <w:rPr>
          <w:sz w:val="20"/>
          <w:szCs w:val="20"/>
        </w:rPr>
        <w:t>d</w:t>
      </w:r>
      <w:r>
        <w:rPr>
          <w:sz w:val="20"/>
          <w:szCs w:val="20"/>
        </w:rPr>
        <w:t xml:space="preserve"> to LTE deployment</w:t>
      </w:r>
    </w:p>
    <w:p w14:paraId="72B8A683" w14:textId="77777777" w:rsidR="00DA0106" w:rsidRDefault="00A14B72" w:rsidP="00A14B72">
      <w:pPr>
        <w:numPr>
          <w:ilvl w:val="0"/>
          <w:numId w:val="37"/>
        </w:numPr>
        <w:jc w:val="both"/>
        <w:rPr>
          <w:sz w:val="20"/>
          <w:szCs w:val="20"/>
        </w:rPr>
      </w:pPr>
      <w:r>
        <w:rPr>
          <w:sz w:val="20"/>
          <w:szCs w:val="20"/>
        </w:rPr>
        <w:t xml:space="preserve">NR deployment can also support larger number of antenna elements, higher order </w:t>
      </w:r>
      <w:r w:rsidR="00DA0106">
        <w:rPr>
          <w:sz w:val="20"/>
          <w:szCs w:val="20"/>
        </w:rPr>
        <w:t>spatial multiplexing (MIMO), etc.</w:t>
      </w:r>
      <w:r w:rsidR="00F374BD">
        <w:rPr>
          <w:sz w:val="20"/>
          <w:szCs w:val="20"/>
        </w:rPr>
        <w:t xml:space="preserve"> compared to LTE deployment</w:t>
      </w:r>
    </w:p>
    <w:p w14:paraId="30D8DDD0" w14:textId="77777777" w:rsidR="00DA0106" w:rsidRDefault="00DA0106" w:rsidP="00DA0106">
      <w:pPr>
        <w:jc w:val="both"/>
        <w:rPr>
          <w:sz w:val="20"/>
          <w:szCs w:val="20"/>
        </w:rPr>
      </w:pPr>
    </w:p>
    <w:p w14:paraId="0AC22F89" w14:textId="77777777" w:rsidR="007C2E19" w:rsidRDefault="007C2E19" w:rsidP="00DA0106">
      <w:pPr>
        <w:jc w:val="both"/>
        <w:rPr>
          <w:sz w:val="20"/>
          <w:szCs w:val="20"/>
        </w:rPr>
      </w:pPr>
      <w:r>
        <w:rPr>
          <w:sz w:val="20"/>
          <w:szCs w:val="20"/>
        </w:rPr>
        <w:t>At high level, the performance different between dual UL and single UL depends on the UE operation region (or the location of the UE).</w:t>
      </w:r>
    </w:p>
    <w:p w14:paraId="56A64C5F" w14:textId="77777777" w:rsidR="00B86D1E" w:rsidRDefault="00B86D1E" w:rsidP="00DA0106">
      <w:pPr>
        <w:jc w:val="both"/>
        <w:rPr>
          <w:sz w:val="20"/>
          <w:szCs w:val="20"/>
        </w:rPr>
      </w:pPr>
    </w:p>
    <w:p w14:paraId="44CCBBCB" w14:textId="242B4E22" w:rsidR="007C2E19" w:rsidRDefault="007C2E19" w:rsidP="007C2E19">
      <w:pPr>
        <w:numPr>
          <w:ilvl w:val="0"/>
          <w:numId w:val="38"/>
        </w:numPr>
        <w:jc w:val="both"/>
        <w:rPr>
          <w:sz w:val="20"/>
          <w:szCs w:val="20"/>
        </w:rPr>
      </w:pPr>
      <w:r>
        <w:rPr>
          <w:sz w:val="20"/>
          <w:szCs w:val="20"/>
        </w:rPr>
        <w:t xml:space="preserve">When UE is severely power limited (UE is at the cell edge), the </w:t>
      </w:r>
      <w:r w:rsidR="00AE3CC3">
        <w:rPr>
          <w:sz w:val="20"/>
          <w:szCs w:val="20"/>
        </w:rPr>
        <w:t xml:space="preserve">additional bandwidth would not improve the UL </w:t>
      </w:r>
      <w:r w:rsidR="008E0F80">
        <w:rPr>
          <w:sz w:val="20"/>
          <w:szCs w:val="20"/>
        </w:rPr>
        <w:t>performance</w:t>
      </w:r>
      <w:r w:rsidR="00AE3CC3">
        <w:rPr>
          <w:sz w:val="20"/>
          <w:szCs w:val="20"/>
        </w:rPr>
        <w:t xml:space="preserve">. The best strategy to improve the coverage is for UE to transmit all </w:t>
      </w:r>
      <w:r w:rsidR="00431F63">
        <w:rPr>
          <w:sz w:val="20"/>
          <w:szCs w:val="20"/>
        </w:rPr>
        <w:t>its</w:t>
      </w:r>
      <w:r w:rsidR="00AE3CC3">
        <w:rPr>
          <w:sz w:val="20"/>
          <w:szCs w:val="20"/>
        </w:rPr>
        <w:t xml:space="preserve"> power on the carrier</w:t>
      </w:r>
      <w:r w:rsidR="00431F63">
        <w:rPr>
          <w:sz w:val="20"/>
          <w:szCs w:val="20"/>
        </w:rPr>
        <w:t xml:space="preserve"> </w:t>
      </w:r>
      <w:r w:rsidR="00AE3CC3">
        <w:rPr>
          <w:sz w:val="20"/>
          <w:szCs w:val="20"/>
        </w:rPr>
        <w:t>that has the smallest path loss</w:t>
      </w:r>
      <w:r w:rsidR="00431F63">
        <w:rPr>
          <w:sz w:val="20"/>
          <w:szCs w:val="20"/>
        </w:rPr>
        <w:t>, i.e. LTE carrier</w:t>
      </w:r>
      <w:r w:rsidR="00AE3CC3">
        <w:rPr>
          <w:sz w:val="20"/>
          <w:szCs w:val="20"/>
        </w:rPr>
        <w:t>.</w:t>
      </w:r>
    </w:p>
    <w:p w14:paraId="7D4D2812" w14:textId="77777777" w:rsidR="00AE3CC3" w:rsidRDefault="00AE3CC3" w:rsidP="007C2E19">
      <w:pPr>
        <w:numPr>
          <w:ilvl w:val="0"/>
          <w:numId w:val="38"/>
        </w:numPr>
        <w:jc w:val="both"/>
        <w:rPr>
          <w:sz w:val="20"/>
          <w:szCs w:val="20"/>
        </w:rPr>
      </w:pPr>
      <w:r>
        <w:rPr>
          <w:sz w:val="20"/>
          <w:szCs w:val="20"/>
        </w:rPr>
        <w:t>When UE moves close</w:t>
      </w:r>
      <w:r w:rsidR="00BE1E63">
        <w:rPr>
          <w:sz w:val="20"/>
          <w:szCs w:val="20"/>
        </w:rPr>
        <w:t>r</w:t>
      </w:r>
      <w:r>
        <w:rPr>
          <w:sz w:val="20"/>
          <w:szCs w:val="20"/>
        </w:rPr>
        <w:t xml:space="preserve"> to the </w:t>
      </w:r>
      <w:r w:rsidR="00BE1E63">
        <w:rPr>
          <w:sz w:val="20"/>
          <w:szCs w:val="20"/>
        </w:rPr>
        <w:t xml:space="preserve">cell </w:t>
      </w:r>
      <w:r>
        <w:rPr>
          <w:sz w:val="20"/>
          <w:szCs w:val="20"/>
        </w:rPr>
        <w:t xml:space="preserve">center, UE </w:t>
      </w:r>
      <w:r w:rsidR="00132225">
        <w:rPr>
          <w:sz w:val="20"/>
          <w:szCs w:val="20"/>
        </w:rPr>
        <w:t xml:space="preserve">UL performance </w:t>
      </w:r>
      <w:r>
        <w:rPr>
          <w:sz w:val="20"/>
          <w:szCs w:val="20"/>
        </w:rPr>
        <w:t>starts to become dimension limited</w:t>
      </w:r>
      <w:r w:rsidR="001B1356">
        <w:rPr>
          <w:sz w:val="20"/>
          <w:szCs w:val="20"/>
        </w:rPr>
        <w:t>, such that</w:t>
      </w:r>
      <w:r>
        <w:rPr>
          <w:sz w:val="20"/>
          <w:szCs w:val="20"/>
        </w:rPr>
        <w:t xml:space="preserve"> wider bandwidth start</w:t>
      </w:r>
      <w:r w:rsidR="0056579B">
        <w:rPr>
          <w:sz w:val="20"/>
          <w:szCs w:val="20"/>
        </w:rPr>
        <w:t>s</w:t>
      </w:r>
      <w:r>
        <w:rPr>
          <w:sz w:val="20"/>
          <w:szCs w:val="20"/>
        </w:rPr>
        <w:t xml:space="preserve"> to improve the UL performance.</w:t>
      </w:r>
    </w:p>
    <w:p w14:paraId="140725C4" w14:textId="77777777" w:rsidR="00AE3CC3" w:rsidRDefault="00AE3CC3" w:rsidP="007C2E19">
      <w:pPr>
        <w:numPr>
          <w:ilvl w:val="0"/>
          <w:numId w:val="38"/>
        </w:numPr>
        <w:jc w:val="both"/>
        <w:rPr>
          <w:sz w:val="20"/>
          <w:szCs w:val="20"/>
        </w:rPr>
      </w:pPr>
      <w:r>
        <w:rPr>
          <w:sz w:val="20"/>
          <w:szCs w:val="20"/>
        </w:rPr>
        <w:t xml:space="preserve">When UE becomes fully dimension limited, i.e. UE transmit </w:t>
      </w:r>
      <w:r w:rsidR="00CC4C07">
        <w:rPr>
          <w:sz w:val="20"/>
          <w:szCs w:val="20"/>
        </w:rPr>
        <w:t xml:space="preserve">at </w:t>
      </w:r>
      <w:r>
        <w:rPr>
          <w:sz w:val="20"/>
          <w:szCs w:val="20"/>
        </w:rPr>
        <w:t xml:space="preserve">below maximum power limitation due to the power control constraint, </w:t>
      </w:r>
      <w:r w:rsidR="00E75FF8">
        <w:rPr>
          <w:sz w:val="20"/>
          <w:szCs w:val="20"/>
        </w:rPr>
        <w:t xml:space="preserve">NR carrier </w:t>
      </w:r>
      <w:r w:rsidR="00C8723E">
        <w:rPr>
          <w:sz w:val="20"/>
          <w:szCs w:val="20"/>
        </w:rPr>
        <w:t>could</w:t>
      </w:r>
      <w:r w:rsidR="00E75FF8">
        <w:rPr>
          <w:sz w:val="20"/>
          <w:szCs w:val="20"/>
        </w:rPr>
        <w:t xml:space="preserve"> provide majority of the UL throughput due to the fact that NR carrier typically has wider bandwidth, and support higher order spatial multiplexing.</w:t>
      </w:r>
    </w:p>
    <w:p w14:paraId="714080FB" w14:textId="77777777" w:rsidR="00E75FF8" w:rsidRDefault="00E75FF8" w:rsidP="00E75FF8">
      <w:pPr>
        <w:jc w:val="both"/>
        <w:rPr>
          <w:sz w:val="20"/>
          <w:szCs w:val="20"/>
        </w:rPr>
      </w:pPr>
    </w:p>
    <w:p w14:paraId="52A1008A" w14:textId="77777777" w:rsidR="00867F7D" w:rsidRDefault="00867F7D" w:rsidP="00E75FF8">
      <w:pPr>
        <w:jc w:val="both"/>
        <w:rPr>
          <w:sz w:val="20"/>
          <w:szCs w:val="20"/>
        </w:rPr>
      </w:pPr>
      <w:r>
        <w:rPr>
          <w:sz w:val="20"/>
          <w:szCs w:val="20"/>
        </w:rPr>
        <w:fldChar w:fldCharType="begin"/>
      </w:r>
      <w:r>
        <w:rPr>
          <w:sz w:val="20"/>
          <w:szCs w:val="20"/>
        </w:rPr>
        <w:instrText xml:space="preserve"> REF _Ref494206799 \h </w:instrText>
      </w:r>
      <w:r>
        <w:rPr>
          <w:sz w:val="20"/>
          <w:szCs w:val="20"/>
        </w:rPr>
      </w:r>
      <w:r>
        <w:rPr>
          <w:sz w:val="20"/>
          <w:szCs w:val="20"/>
        </w:rPr>
        <w:fldChar w:fldCharType="separate"/>
      </w:r>
      <w:r w:rsidR="00CB4A54" w:rsidRPr="00867F7D">
        <w:rPr>
          <w:sz w:val="20"/>
        </w:rPr>
        <w:t xml:space="preserve">Figure </w:t>
      </w:r>
      <w:r w:rsidR="00CB4A54">
        <w:rPr>
          <w:noProof/>
          <w:sz w:val="20"/>
        </w:rPr>
        <w:t>3</w:t>
      </w:r>
      <w:r>
        <w:rPr>
          <w:sz w:val="20"/>
          <w:szCs w:val="20"/>
        </w:rPr>
        <w:fldChar w:fldCharType="end"/>
      </w:r>
      <w:r>
        <w:rPr>
          <w:sz w:val="20"/>
          <w:szCs w:val="20"/>
        </w:rPr>
        <w:t xml:space="preserve"> shows the UL transmit power on LTE and NR carrier as well as achievable UL geometry on each carrier as a function of path loss</w:t>
      </w:r>
      <w:r w:rsidR="001701F0">
        <w:rPr>
          <w:sz w:val="20"/>
          <w:szCs w:val="20"/>
        </w:rPr>
        <w:t xml:space="preserve"> for dual UL transmission assuming fixed power split of 20dBm + </w:t>
      </w:r>
      <w:proofErr w:type="spellStart"/>
      <w:r w:rsidR="001701F0">
        <w:rPr>
          <w:sz w:val="20"/>
          <w:szCs w:val="20"/>
        </w:rPr>
        <w:t>20dBm</w:t>
      </w:r>
      <w:proofErr w:type="spellEnd"/>
      <w:r w:rsidR="001701F0">
        <w:rPr>
          <w:sz w:val="20"/>
          <w:szCs w:val="20"/>
        </w:rPr>
        <w:t xml:space="preserve"> between LTE and NR</w:t>
      </w:r>
      <w:r>
        <w:rPr>
          <w:sz w:val="20"/>
          <w:szCs w:val="20"/>
        </w:rPr>
        <w:t>. It is notable that LTE carrier requires much less transmit power compared to NR mainly due to</w:t>
      </w:r>
      <w:r w:rsidR="006C100F">
        <w:rPr>
          <w:sz w:val="20"/>
          <w:szCs w:val="20"/>
        </w:rPr>
        <w:t xml:space="preserve"> two reasons</w:t>
      </w:r>
      <w:r>
        <w:rPr>
          <w:sz w:val="20"/>
          <w:szCs w:val="20"/>
        </w:rPr>
        <w:t xml:space="preserve"> (1) LTE carrier has smaller path loss compare</w:t>
      </w:r>
      <w:r w:rsidR="00BE1E63">
        <w:rPr>
          <w:sz w:val="20"/>
          <w:szCs w:val="20"/>
        </w:rPr>
        <w:t>d</w:t>
      </w:r>
      <w:r>
        <w:rPr>
          <w:sz w:val="20"/>
          <w:szCs w:val="20"/>
        </w:rPr>
        <w:t xml:space="preserve"> to NR carrier (2) LTE carrier has narrower bandwidth compared to NR carrier  </w:t>
      </w:r>
    </w:p>
    <w:p w14:paraId="059E8295" w14:textId="77777777" w:rsidR="00867F7D" w:rsidRDefault="003F5328" w:rsidP="00867F7D">
      <w:pPr>
        <w:keepNext/>
        <w:jc w:val="center"/>
      </w:pPr>
      <w:r w:rsidRPr="00867F7D">
        <w:rPr>
          <w:noProof/>
          <w:sz w:val="20"/>
          <w:szCs w:val="20"/>
          <w:lang w:eastAsia="en-US"/>
        </w:rPr>
        <w:drawing>
          <wp:inline distT="0" distB="0" distL="0" distR="0" wp14:anchorId="05FE2629" wp14:editId="1DC3F5AB">
            <wp:extent cx="4270248" cy="32004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2D043671" w14:textId="77777777" w:rsidR="00E75FF8" w:rsidRDefault="00867F7D" w:rsidP="00867F7D">
      <w:pPr>
        <w:pStyle w:val="Caption"/>
        <w:rPr>
          <w:sz w:val="20"/>
        </w:rPr>
      </w:pPr>
      <w:bookmarkStart w:id="2" w:name="_Ref494206799"/>
      <w:r w:rsidRPr="00867F7D">
        <w:rPr>
          <w:sz w:val="20"/>
        </w:rPr>
        <w:t xml:space="preserve">Figure </w:t>
      </w:r>
      <w:r w:rsidRPr="00867F7D">
        <w:rPr>
          <w:sz w:val="20"/>
        </w:rPr>
        <w:fldChar w:fldCharType="begin"/>
      </w:r>
      <w:r w:rsidRPr="00867F7D">
        <w:rPr>
          <w:sz w:val="20"/>
        </w:rPr>
        <w:instrText xml:space="preserve"> SEQ Figure \* ARABIC </w:instrText>
      </w:r>
      <w:r w:rsidRPr="00867F7D">
        <w:rPr>
          <w:sz w:val="20"/>
        </w:rPr>
        <w:fldChar w:fldCharType="separate"/>
      </w:r>
      <w:r w:rsidR="00934191">
        <w:rPr>
          <w:noProof/>
          <w:sz w:val="20"/>
        </w:rPr>
        <w:t>4</w:t>
      </w:r>
      <w:r w:rsidRPr="00867F7D">
        <w:rPr>
          <w:sz w:val="20"/>
        </w:rPr>
        <w:fldChar w:fldCharType="end"/>
      </w:r>
      <w:bookmarkEnd w:id="2"/>
      <w:r w:rsidRPr="00867F7D">
        <w:rPr>
          <w:sz w:val="20"/>
        </w:rPr>
        <w:t xml:space="preserve"> </w:t>
      </w:r>
      <w:r>
        <w:rPr>
          <w:sz w:val="20"/>
        </w:rPr>
        <w:t>U</w:t>
      </w:r>
      <w:r w:rsidR="000A2785">
        <w:rPr>
          <w:sz w:val="20"/>
        </w:rPr>
        <w:t xml:space="preserve">E </w:t>
      </w:r>
      <w:proofErr w:type="spellStart"/>
      <w:r w:rsidR="000A2785">
        <w:rPr>
          <w:sz w:val="20"/>
        </w:rPr>
        <w:t>Tx</w:t>
      </w:r>
      <w:proofErr w:type="spellEnd"/>
      <w:r w:rsidR="000A2785">
        <w:rPr>
          <w:sz w:val="20"/>
        </w:rPr>
        <w:t xml:space="preserve"> power and UL geometry for d</w:t>
      </w:r>
      <w:r>
        <w:rPr>
          <w:sz w:val="20"/>
        </w:rPr>
        <w:t>ual UL transmission</w:t>
      </w:r>
    </w:p>
    <w:p w14:paraId="15A95C41" w14:textId="77777777" w:rsidR="008E1D70" w:rsidRDefault="008E1D70" w:rsidP="008E1D70">
      <w:pPr>
        <w:rPr>
          <w:sz w:val="20"/>
          <w:szCs w:val="20"/>
        </w:rPr>
      </w:pPr>
      <w:r w:rsidRPr="008E1D70">
        <w:rPr>
          <w:sz w:val="20"/>
          <w:szCs w:val="20"/>
        </w:rPr>
        <w:fldChar w:fldCharType="begin"/>
      </w:r>
      <w:r w:rsidRPr="008E1D70">
        <w:rPr>
          <w:sz w:val="20"/>
          <w:szCs w:val="20"/>
        </w:rPr>
        <w:instrText xml:space="preserve"> REF _Ref494207233 \h </w:instrText>
      </w:r>
      <w:r>
        <w:rPr>
          <w:sz w:val="20"/>
          <w:szCs w:val="20"/>
        </w:rPr>
        <w:instrText xml:space="preserve"> \* MERGEFORMAT </w:instrText>
      </w:r>
      <w:r w:rsidRPr="008E1D70">
        <w:rPr>
          <w:sz w:val="20"/>
          <w:szCs w:val="20"/>
        </w:rPr>
      </w:r>
      <w:r w:rsidRPr="008E1D70">
        <w:rPr>
          <w:sz w:val="20"/>
          <w:szCs w:val="20"/>
        </w:rPr>
        <w:fldChar w:fldCharType="separate"/>
      </w:r>
      <w:r w:rsidR="00CB4A54" w:rsidRPr="00CB4A54">
        <w:rPr>
          <w:sz w:val="20"/>
          <w:szCs w:val="20"/>
        </w:rPr>
        <w:t xml:space="preserve">Figure </w:t>
      </w:r>
      <w:r w:rsidR="00CB4A54" w:rsidRPr="00CB4A54">
        <w:rPr>
          <w:noProof/>
          <w:sz w:val="20"/>
          <w:szCs w:val="20"/>
        </w:rPr>
        <w:t>4</w:t>
      </w:r>
      <w:r w:rsidRPr="008E1D70">
        <w:rPr>
          <w:sz w:val="20"/>
          <w:szCs w:val="20"/>
        </w:rPr>
        <w:fldChar w:fldCharType="end"/>
      </w:r>
      <w:r w:rsidRPr="008E1D70">
        <w:rPr>
          <w:sz w:val="20"/>
          <w:szCs w:val="20"/>
        </w:rPr>
        <w:t xml:space="preserve"> provides</w:t>
      </w:r>
      <w:r>
        <w:rPr>
          <w:sz w:val="20"/>
          <w:szCs w:val="20"/>
        </w:rPr>
        <w:t xml:space="preserve"> UL through</w:t>
      </w:r>
      <w:r w:rsidR="00B2097E">
        <w:rPr>
          <w:sz w:val="20"/>
          <w:szCs w:val="20"/>
        </w:rPr>
        <w:t xml:space="preserve">put comparison between </w:t>
      </w:r>
      <w:r w:rsidR="00301ECA">
        <w:rPr>
          <w:sz w:val="20"/>
          <w:szCs w:val="20"/>
        </w:rPr>
        <w:t>dual uplink and single uplink transmission</w:t>
      </w:r>
      <w:r w:rsidR="00B2097E">
        <w:rPr>
          <w:sz w:val="20"/>
          <w:szCs w:val="20"/>
        </w:rPr>
        <w:t>. It is interesting to note that</w:t>
      </w:r>
    </w:p>
    <w:p w14:paraId="1D44DCDE" w14:textId="77777777" w:rsidR="00B2097E" w:rsidRDefault="00B2097E" w:rsidP="008E1D70">
      <w:pPr>
        <w:rPr>
          <w:sz w:val="20"/>
          <w:szCs w:val="20"/>
        </w:rPr>
      </w:pPr>
    </w:p>
    <w:p w14:paraId="75D9ED6A" w14:textId="77777777" w:rsidR="00B2097E" w:rsidRDefault="00B2097E" w:rsidP="00B2097E">
      <w:pPr>
        <w:numPr>
          <w:ilvl w:val="0"/>
          <w:numId w:val="39"/>
        </w:numPr>
        <w:rPr>
          <w:sz w:val="20"/>
          <w:szCs w:val="20"/>
        </w:rPr>
      </w:pPr>
      <w:r>
        <w:rPr>
          <w:sz w:val="20"/>
          <w:szCs w:val="20"/>
        </w:rPr>
        <w:t>At high path loss</w:t>
      </w:r>
      <w:r w:rsidR="0073666A">
        <w:rPr>
          <w:sz w:val="20"/>
          <w:szCs w:val="20"/>
        </w:rPr>
        <w:t xml:space="preserve"> (cell edge)</w:t>
      </w:r>
      <w:r>
        <w:rPr>
          <w:sz w:val="20"/>
          <w:szCs w:val="20"/>
        </w:rPr>
        <w:t xml:space="preserve">, single UL performs the best as expected, due to the fact that LTE carrier </w:t>
      </w:r>
      <w:r w:rsidR="00D43FBB">
        <w:rPr>
          <w:sz w:val="20"/>
          <w:szCs w:val="20"/>
        </w:rPr>
        <w:t>has</w:t>
      </w:r>
      <w:r>
        <w:rPr>
          <w:sz w:val="20"/>
          <w:szCs w:val="20"/>
        </w:rPr>
        <w:t xml:space="preserve"> smaller path loss at lower frequency band</w:t>
      </w:r>
    </w:p>
    <w:p w14:paraId="4475E143" w14:textId="77777777" w:rsidR="00B2097E" w:rsidRDefault="0042524E" w:rsidP="00B2097E">
      <w:pPr>
        <w:numPr>
          <w:ilvl w:val="0"/>
          <w:numId w:val="39"/>
        </w:numPr>
        <w:rPr>
          <w:sz w:val="20"/>
          <w:szCs w:val="20"/>
        </w:rPr>
      </w:pPr>
      <w:r>
        <w:rPr>
          <w:sz w:val="20"/>
          <w:szCs w:val="20"/>
        </w:rPr>
        <w:t>At low path loss</w:t>
      </w:r>
      <w:r w:rsidR="0073666A">
        <w:rPr>
          <w:sz w:val="20"/>
          <w:szCs w:val="20"/>
        </w:rPr>
        <w:t xml:space="preserve"> (cell center)</w:t>
      </w:r>
      <w:r>
        <w:rPr>
          <w:sz w:val="20"/>
          <w:szCs w:val="20"/>
        </w:rPr>
        <w:t>, dual</w:t>
      </w:r>
      <w:r w:rsidR="00A43184">
        <w:rPr>
          <w:sz w:val="20"/>
          <w:szCs w:val="20"/>
        </w:rPr>
        <w:t xml:space="preserve"> UL performs the best as system becomes dimension limited.</w:t>
      </w:r>
    </w:p>
    <w:p w14:paraId="0A835404" w14:textId="77777777" w:rsidR="00A0672A" w:rsidRDefault="00A0672A" w:rsidP="00A0672A">
      <w:pPr>
        <w:rPr>
          <w:sz w:val="20"/>
          <w:szCs w:val="20"/>
        </w:rPr>
      </w:pPr>
    </w:p>
    <w:p w14:paraId="5B6A8A0C" w14:textId="757A3073" w:rsidR="00407460" w:rsidRPr="008E1D70" w:rsidRDefault="00A05340" w:rsidP="00A0672A">
      <w:pPr>
        <w:rPr>
          <w:sz w:val="20"/>
          <w:szCs w:val="20"/>
        </w:rPr>
      </w:pPr>
      <w:r>
        <w:rPr>
          <w:sz w:val="20"/>
          <w:szCs w:val="20"/>
        </w:rPr>
        <w:t>W</w:t>
      </w:r>
      <w:r w:rsidR="00A0672A">
        <w:rPr>
          <w:sz w:val="20"/>
          <w:szCs w:val="20"/>
        </w:rPr>
        <w:t>e also try to intuitively explain why at cell edge, when UE is power limited,</w:t>
      </w:r>
      <w:r w:rsidR="0037322F">
        <w:rPr>
          <w:sz w:val="20"/>
          <w:szCs w:val="20"/>
        </w:rPr>
        <w:t xml:space="preserve"> the </w:t>
      </w:r>
      <w:r w:rsidR="00A0672A">
        <w:rPr>
          <w:sz w:val="20"/>
          <w:szCs w:val="20"/>
        </w:rPr>
        <w:t xml:space="preserve">best strategy is to transmit all the power on the carrier with the smallest path loss. According to Shannon capacity, the achievable data rate is </w:t>
      </w:r>
      <m:oMath>
        <m:r>
          <w:rPr>
            <w:rFonts w:ascii="Cambria Math" w:hAnsi="Cambria Math"/>
            <w:sz w:val="20"/>
            <w:szCs w:val="20"/>
          </w:rPr>
          <m:t>r=W∙log(1+</m:t>
        </m:r>
        <m:f>
          <m:fPr>
            <m:ctrlPr>
              <w:rPr>
                <w:rFonts w:ascii="Cambria Math" w:hAnsi="Cambria Math"/>
                <w:i/>
                <w:sz w:val="20"/>
                <w:szCs w:val="20"/>
              </w:rPr>
            </m:ctrlPr>
          </m:fPr>
          <m:num>
            <m:r>
              <w:rPr>
                <w:rFonts w:ascii="Cambria Math" w:hAnsi="Cambria Math"/>
                <w:sz w:val="20"/>
                <w:szCs w:val="20"/>
              </w:rPr>
              <m:t>P</m:t>
            </m:r>
          </m:num>
          <m:den>
            <m:r>
              <w:rPr>
                <w:rFonts w:ascii="Cambria Math" w:hAnsi="Cambria Math"/>
                <w:sz w:val="20"/>
                <w:szCs w:val="20"/>
              </w:rPr>
              <m:t>W∙</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den>
        </m:f>
        <m:r>
          <w:rPr>
            <w:rFonts w:ascii="Cambria Math" w:hAnsi="Cambria Math"/>
            <w:sz w:val="20"/>
            <w:szCs w:val="20"/>
          </w:rPr>
          <m:t>)</m:t>
        </m:r>
      </m:oMath>
      <w:r w:rsidR="00A0672A">
        <w:rPr>
          <w:sz w:val="20"/>
          <w:szCs w:val="20"/>
        </w:rPr>
        <w:t xml:space="preserve"> where </w:t>
      </w:r>
      <m:oMath>
        <m:r>
          <w:rPr>
            <w:rFonts w:ascii="Cambria Math" w:hAnsi="Cambria Math"/>
            <w:sz w:val="20"/>
            <w:szCs w:val="20"/>
          </w:rPr>
          <m:t>W</m:t>
        </m:r>
      </m:oMath>
      <w:r w:rsidR="00A0672A">
        <w:rPr>
          <w:sz w:val="20"/>
          <w:szCs w:val="20"/>
        </w:rPr>
        <w:t xml:space="preserve"> is the bandwidth, </w:t>
      </w:r>
      <m:oMath>
        <m:r>
          <w:rPr>
            <w:rFonts w:ascii="Cambria Math" w:hAnsi="Cambria Math"/>
            <w:sz w:val="20"/>
            <w:szCs w:val="20"/>
          </w:rPr>
          <m:t>P</m:t>
        </m:r>
      </m:oMath>
      <w:r w:rsidR="00A0672A">
        <w:rPr>
          <w:sz w:val="20"/>
          <w:szCs w:val="20"/>
        </w:rPr>
        <w:t xml:space="preserve"> is the total received power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00A0672A">
        <w:rPr>
          <w:sz w:val="20"/>
          <w:szCs w:val="20"/>
        </w:rPr>
        <w:t xml:space="preserve"> </w:t>
      </w:r>
      <w:r w:rsidR="00FC2F90">
        <w:rPr>
          <w:sz w:val="20"/>
          <w:szCs w:val="20"/>
        </w:rPr>
        <w:t xml:space="preserve">is </w:t>
      </w:r>
      <w:r w:rsidR="00A0672A">
        <w:rPr>
          <w:sz w:val="20"/>
          <w:szCs w:val="20"/>
        </w:rPr>
        <w:t>noise spectral density. At the cell edge when UE is power limited, the SNR on UL is very low, log operation can be approximated by the linear operation</w:t>
      </w:r>
      <w:r w:rsidR="007C3E73">
        <w:rPr>
          <w:sz w:val="20"/>
          <w:szCs w:val="20"/>
        </w:rPr>
        <w:t xml:space="preserve">, which suggests that </w:t>
      </w:r>
      <w:r w:rsidR="00A0672A">
        <w:rPr>
          <w:sz w:val="20"/>
          <w:szCs w:val="20"/>
        </w:rPr>
        <w:t xml:space="preserve">capacity grows linearly as the SNR grows, i.e. </w:t>
      </w:r>
      <m:oMath>
        <m:r>
          <w:rPr>
            <w:rFonts w:ascii="Cambria Math" w:hAnsi="Cambria Math"/>
            <w:sz w:val="20"/>
            <w:szCs w:val="20"/>
          </w:rPr>
          <m:t>r≈W∙</m:t>
        </m:r>
        <m:f>
          <m:fPr>
            <m:ctrlPr>
              <w:rPr>
                <w:rFonts w:ascii="Cambria Math" w:hAnsi="Cambria Math"/>
                <w:i/>
                <w:sz w:val="20"/>
                <w:szCs w:val="20"/>
              </w:rPr>
            </m:ctrlPr>
          </m:fPr>
          <m:num>
            <m:r>
              <w:rPr>
                <w:rFonts w:ascii="Cambria Math" w:hAnsi="Cambria Math"/>
                <w:sz w:val="20"/>
                <w:szCs w:val="20"/>
              </w:rPr>
              <m:t>P</m:t>
            </m:r>
          </m:num>
          <m:den>
            <m:r>
              <w:rPr>
                <w:rFonts w:ascii="Cambria Math" w:hAnsi="Cambria Math"/>
                <w:sz w:val="20"/>
                <w:szCs w:val="20"/>
              </w:rPr>
              <m:t>W∙</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P</m:t>
            </m:r>
          </m:num>
          <m:den>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den>
        </m:f>
      </m:oMath>
      <w:r w:rsidR="00A0672A">
        <w:rPr>
          <w:sz w:val="20"/>
          <w:szCs w:val="20"/>
        </w:rPr>
        <w:t xml:space="preserve">. This shows that when UE is power limited, increasing bandwidth will not increase the throughput, instead, it is more important to increase the received power. To increase the </w:t>
      </w:r>
      <w:r w:rsidR="00FC2F90">
        <w:rPr>
          <w:sz w:val="20"/>
          <w:szCs w:val="20"/>
        </w:rPr>
        <w:t>receive power,</w:t>
      </w:r>
      <w:r w:rsidR="00A0672A">
        <w:rPr>
          <w:sz w:val="20"/>
          <w:szCs w:val="20"/>
        </w:rPr>
        <w:t xml:space="preserve"> UE should transmit on the carrier with the smallest path loss.</w:t>
      </w:r>
    </w:p>
    <w:p w14:paraId="794F9496" w14:textId="77777777" w:rsidR="001E0DF6" w:rsidRDefault="003F5328" w:rsidP="001E0DF6">
      <w:pPr>
        <w:keepNext/>
        <w:jc w:val="center"/>
      </w:pPr>
      <w:r w:rsidRPr="00101349">
        <w:rPr>
          <w:noProof/>
          <w:lang w:eastAsia="en-US"/>
        </w:rPr>
        <w:lastRenderedPageBreak/>
        <w:drawing>
          <wp:inline distT="0" distB="0" distL="0" distR="0" wp14:anchorId="6B027A2F" wp14:editId="1147E25B">
            <wp:extent cx="4261104" cy="3191256"/>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1104" cy="3191256"/>
                    </a:xfrm>
                    <a:prstGeom prst="rect">
                      <a:avLst/>
                    </a:prstGeom>
                    <a:noFill/>
                    <a:ln>
                      <a:noFill/>
                    </a:ln>
                  </pic:spPr>
                </pic:pic>
              </a:graphicData>
            </a:graphic>
          </wp:inline>
        </w:drawing>
      </w:r>
    </w:p>
    <w:p w14:paraId="7D04491B" w14:textId="77777777" w:rsidR="001E0DF6" w:rsidRDefault="001E0DF6" w:rsidP="001E0DF6">
      <w:pPr>
        <w:pStyle w:val="Caption"/>
        <w:rPr>
          <w:sz w:val="20"/>
        </w:rPr>
      </w:pPr>
      <w:bookmarkStart w:id="3" w:name="_Ref494207233"/>
      <w:r w:rsidRPr="001E0DF6">
        <w:rPr>
          <w:sz w:val="20"/>
        </w:rPr>
        <w:t xml:space="preserve">Figure </w:t>
      </w:r>
      <w:r w:rsidRPr="001E0DF6">
        <w:rPr>
          <w:sz w:val="20"/>
        </w:rPr>
        <w:fldChar w:fldCharType="begin"/>
      </w:r>
      <w:r w:rsidRPr="001E0DF6">
        <w:rPr>
          <w:sz w:val="20"/>
        </w:rPr>
        <w:instrText xml:space="preserve"> SEQ Figure \* ARABIC </w:instrText>
      </w:r>
      <w:r w:rsidRPr="001E0DF6">
        <w:rPr>
          <w:sz w:val="20"/>
        </w:rPr>
        <w:fldChar w:fldCharType="separate"/>
      </w:r>
      <w:r w:rsidR="00934191">
        <w:rPr>
          <w:noProof/>
          <w:sz w:val="20"/>
        </w:rPr>
        <w:t>5</w:t>
      </w:r>
      <w:r w:rsidRPr="001E0DF6">
        <w:rPr>
          <w:sz w:val="20"/>
        </w:rPr>
        <w:fldChar w:fldCharType="end"/>
      </w:r>
      <w:bookmarkEnd w:id="3"/>
      <w:r>
        <w:rPr>
          <w:sz w:val="20"/>
        </w:rPr>
        <w:t xml:space="preserve"> UL throughput comparison between dual UL and single UL</w:t>
      </w:r>
    </w:p>
    <w:p w14:paraId="28759283" w14:textId="77777777" w:rsidR="006E2CE3" w:rsidRDefault="006E2CE3" w:rsidP="006E2CE3">
      <w:pPr>
        <w:rPr>
          <w:sz w:val="20"/>
          <w:szCs w:val="20"/>
        </w:rPr>
      </w:pPr>
      <w:r w:rsidRPr="006E2CE3">
        <w:rPr>
          <w:sz w:val="20"/>
          <w:szCs w:val="20"/>
        </w:rPr>
        <w:fldChar w:fldCharType="begin"/>
      </w:r>
      <w:r w:rsidRPr="006E2CE3">
        <w:rPr>
          <w:sz w:val="20"/>
          <w:szCs w:val="20"/>
        </w:rPr>
        <w:instrText xml:space="preserve"> REF _Ref494207688 \h </w:instrText>
      </w:r>
      <w:r>
        <w:rPr>
          <w:sz w:val="20"/>
          <w:szCs w:val="20"/>
        </w:rPr>
        <w:instrText xml:space="preserve"> \* MERGEFORMAT </w:instrText>
      </w:r>
      <w:r w:rsidRPr="006E2CE3">
        <w:rPr>
          <w:sz w:val="20"/>
          <w:szCs w:val="20"/>
        </w:rPr>
      </w:r>
      <w:r w:rsidRPr="006E2CE3">
        <w:rPr>
          <w:sz w:val="20"/>
          <w:szCs w:val="20"/>
        </w:rPr>
        <w:fldChar w:fldCharType="separate"/>
      </w:r>
      <w:r w:rsidR="00CB4A54" w:rsidRPr="00CB4A54">
        <w:rPr>
          <w:sz w:val="20"/>
          <w:szCs w:val="20"/>
        </w:rPr>
        <w:t xml:space="preserve">Figure </w:t>
      </w:r>
      <w:r w:rsidR="00CB4A54" w:rsidRPr="00CB4A54">
        <w:rPr>
          <w:noProof/>
          <w:sz w:val="20"/>
          <w:szCs w:val="20"/>
        </w:rPr>
        <w:t>5</w:t>
      </w:r>
      <w:r w:rsidRPr="006E2CE3">
        <w:rPr>
          <w:sz w:val="20"/>
          <w:szCs w:val="20"/>
        </w:rPr>
        <w:fldChar w:fldCharType="end"/>
      </w:r>
      <w:r w:rsidRPr="006E2CE3">
        <w:rPr>
          <w:sz w:val="20"/>
          <w:szCs w:val="20"/>
        </w:rPr>
        <w:t xml:space="preserve"> provides the </w:t>
      </w:r>
      <w:r>
        <w:rPr>
          <w:sz w:val="20"/>
          <w:szCs w:val="20"/>
        </w:rPr>
        <w:t xml:space="preserve">gain of dual UL with respect to single UL. </w:t>
      </w:r>
    </w:p>
    <w:p w14:paraId="41826F40" w14:textId="77777777" w:rsidR="006E2CE3" w:rsidRDefault="006E2CE3" w:rsidP="006E2CE3">
      <w:pPr>
        <w:rPr>
          <w:sz w:val="20"/>
          <w:szCs w:val="20"/>
        </w:rPr>
      </w:pPr>
    </w:p>
    <w:p w14:paraId="43F2C4EA" w14:textId="77777777" w:rsidR="006E2CE3" w:rsidRDefault="006E2CE3" w:rsidP="006E2CE3">
      <w:pPr>
        <w:numPr>
          <w:ilvl w:val="0"/>
          <w:numId w:val="40"/>
        </w:numPr>
        <w:rPr>
          <w:sz w:val="20"/>
          <w:szCs w:val="20"/>
        </w:rPr>
      </w:pPr>
      <w:r>
        <w:rPr>
          <w:sz w:val="20"/>
          <w:szCs w:val="20"/>
        </w:rPr>
        <w:t>At very cell edge, e.g. path loss of 140dB, dual UL performs worse</w:t>
      </w:r>
      <w:r w:rsidR="00F72108">
        <w:rPr>
          <w:sz w:val="20"/>
          <w:szCs w:val="20"/>
        </w:rPr>
        <w:t xml:space="preserve"> than single LTE UL by around 20</w:t>
      </w:r>
      <w:r>
        <w:rPr>
          <w:sz w:val="20"/>
          <w:szCs w:val="20"/>
        </w:rPr>
        <w:t>%</w:t>
      </w:r>
    </w:p>
    <w:p w14:paraId="5379169B" w14:textId="77777777" w:rsidR="006E2CE3" w:rsidRDefault="006E2CE3" w:rsidP="006E2CE3">
      <w:pPr>
        <w:numPr>
          <w:ilvl w:val="0"/>
          <w:numId w:val="40"/>
        </w:numPr>
        <w:rPr>
          <w:sz w:val="20"/>
          <w:szCs w:val="20"/>
        </w:rPr>
      </w:pPr>
      <w:r>
        <w:rPr>
          <w:sz w:val="20"/>
          <w:szCs w:val="20"/>
        </w:rPr>
        <w:t>As the path loss reduces, dual UL starts to perform b</w:t>
      </w:r>
      <w:r w:rsidR="0047631A">
        <w:rPr>
          <w:sz w:val="20"/>
          <w:szCs w:val="20"/>
        </w:rPr>
        <w:t xml:space="preserve">etter than single UL for up to </w:t>
      </w:r>
      <w:r w:rsidR="00F72108">
        <w:rPr>
          <w:sz w:val="20"/>
          <w:szCs w:val="20"/>
        </w:rPr>
        <w:t>4-</w:t>
      </w:r>
      <w:r>
        <w:rPr>
          <w:sz w:val="20"/>
          <w:szCs w:val="20"/>
        </w:rPr>
        <w:t>5%</w:t>
      </w:r>
    </w:p>
    <w:p w14:paraId="67650ABA" w14:textId="77777777" w:rsidR="0035754F" w:rsidRDefault="003F5328" w:rsidP="0035754F">
      <w:pPr>
        <w:keepNext/>
        <w:jc w:val="center"/>
      </w:pPr>
      <w:r w:rsidRPr="00101349">
        <w:rPr>
          <w:noProof/>
          <w:lang w:eastAsia="en-US"/>
        </w:rPr>
        <w:drawing>
          <wp:inline distT="0" distB="0" distL="0" distR="0" wp14:anchorId="49811B6B" wp14:editId="42D3EA89">
            <wp:extent cx="4288536" cy="3218688"/>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8536" cy="3218688"/>
                    </a:xfrm>
                    <a:prstGeom prst="rect">
                      <a:avLst/>
                    </a:prstGeom>
                    <a:noFill/>
                    <a:ln>
                      <a:noFill/>
                    </a:ln>
                  </pic:spPr>
                </pic:pic>
              </a:graphicData>
            </a:graphic>
          </wp:inline>
        </w:drawing>
      </w:r>
    </w:p>
    <w:p w14:paraId="2A597A48" w14:textId="23D0D195" w:rsidR="000708A3" w:rsidRDefault="0035754F" w:rsidP="000708A3">
      <w:pPr>
        <w:pStyle w:val="Caption"/>
        <w:rPr>
          <w:sz w:val="20"/>
        </w:rPr>
      </w:pPr>
      <w:bookmarkStart w:id="4" w:name="_Ref494207688"/>
      <w:r w:rsidRPr="0035754F">
        <w:rPr>
          <w:sz w:val="20"/>
        </w:rPr>
        <w:t xml:space="preserve">Figure </w:t>
      </w:r>
      <w:r w:rsidRPr="0035754F">
        <w:rPr>
          <w:sz w:val="20"/>
        </w:rPr>
        <w:fldChar w:fldCharType="begin"/>
      </w:r>
      <w:r w:rsidRPr="0035754F">
        <w:rPr>
          <w:sz w:val="20"/>
        </w:rPr>
        <w:instrText xml:space="preserve"> SEQ Figure \* ARABIC </w:instrText>
      </w:r>
      <w:r w:rsidRPr="0035754F">
        <w:rPr>
          <w:sz w:val="20"/>
        </w:rPr>
        <w:fldChar w:fldCharType="separate"/>
      </w:r>
      <w:r w:rsidR="00934191">
        <w:rPr>
          <w:noProof/>
          <w:sz w:val="20"/>
        </w:rPr>
        <w:t>6</w:t>
      </w:r>
      <w:r w:rsidRPr="0035754F">
        <w:rPr>
          <w:sz w:val="20"/>
        </w:rPr>
        <w:fldChar w:fldCharType="end"/>
      </w:r>
      <w:bookmarkEnd w:id="4"/>
      <w:r w:rsidRPr="0035754F">
        <w:rPr>
          <w:sz w:val="20"/>
        </w:rPr>
        <w:t xml:space="preserve"> UL throughput</w:t>
      </w:r>
      <w:r>
        <w:rPr>
          <w:sz w:val="20"/>
        </w:rPr>
        <w:t xml:space="preserve"> comparison dual UL gain over single UL</w:t>
      </w:r>
      <w:r w:rsidR="006A1E84">
        <w:rPr>
          <w:sz w:val="20"/>
        </w:rPr>
        <w:t>: Path Loss</w:t>
      </w:r>
    </w:p>
    <w:p w14:paraId="45B4E789" w14:textId="77777777" w:rsidR="000708A3" w:rsidRDefault="000708A3" w:rsidP="000708A3">
      <w:pPr>
        <w:rPr>
          <w:sz w:val="20"/>
          <w:szCs w:val="20"/>
        </w:rPr>
      </w:pPr>
      <w:r>
        <w:rPr>
          <w:sz w:val="20"/>
          <w:szCs w:val="20"/>
        </w:rPr>
        <w:t>From the performance comparison, we can make the following observations</w:t>
      </w:r>
    </w:p>
    <w:p w14:paraId="48234245" w14:textId="77777777" w:rsidR="000708A3" w:rsidRDefault="000708A3" w:rsidP="000708A3">
      <w:pPr>
        <w:rPr>
          <w:sz w:val="20"/>
          <w:szCs w:val="20"/>
        </w:rPr>
      </w:pPr>
    </w:p>
    <w:p w14:paraId="0BB22032" w14:textId="23591F28" w:rsidR="00745C9E" w:rsidRPr="00430170" w:rsidRDefault="00745C9E" w:rsidP="00745C9E">
      <w:pPr>
        <w:rPr>
          <w:rFonts w:eastAsia="宋体"/>
          <w:b/>
          <w:i/>
          <w:sz w:val="20"/>
          <w:szCs w:val="20"/>
        </w:rPr>
      </w:pPr>
      <w:r w:rsidRPr="00430170">
        <w:rPr>
          <w:rFonts w:eastAsia="宋体"/>
          <w:b/>
          <w:bCs/>
          <w:i/>
          <w:sz w:val="20"/>
          <w:szCs w:val="20"/>
          <w:u w:val="single"/>
        </w:rPr>
        <w:t xml:space="preserve">Observation </w:t>
      </w:r>
      <w:r w:rsidR="00430170" w:rsidRPr="00430170">
        <w:rPr>
          <w:rFonts w:eastAsia="宋体"/>
          <w:b/>
          <w:bCs/>
          <w:i/>
          <w:sz w:val="20"/>
          <w:szCs w:val="20"/>
          <w:u w:val="single"/>
        </w:rPr>
        <w:t>3</w:t>
      </w:r>
      <w:r w:rsidRPr="00430170">
        <w:rPr>
          <w:rFonts w:eastAsia="宋体"/>
          <w:bCs/>
          <w:i/>
          <w:sz w:val="20"/>
          <w:szCs w:val="20"/>
        </w:rPr>
        <w:t xml:space="preserve">: </w:t>
      </w:r>
      <w:r w:rsidRPr="00430170">
        <w:rPr>
          <w:rFonts w:eastAsia="宋体"/>
          <w:b/>
          <w:i/>
          <w:sz w:val="20"/>
          <w:szCs w:val="20"/>
        </w:rPr>
        <w:t>for LTE-NR DC UE’s that are power limited in the uplink, there is negligible impact, or even performance gain, on uplink throughput using non-simultaneous UL compared to simultaneous UL.</w:t>
      </w:r>
    </w:p>
    <w:p w14:paraId="4B89CA72" w14:textId="77777777" w:rsidR="00BB57EF" w:rsidRPr="00430170" w:rsidRDefault="00BB57EF" w:rsidP="00745C9E">
      <w:pPr>
        <w:rPr>
          <w:rFonts w:eastAsia="宋体"/>
          <w:b/>
          <w:i/>
          <w:sz w:val="20"/>
          <w:szCs w:val="20"/>
        </w:rPr>
      </w:pPr>
    </w:p>
    <w:p w14:paraId="00285EAB" w14:textId="686A5981" w:rsidR="00745C9E" w:rsidRPr="00430170" w:rsidRDefault="00745C9E" w:rsidP="00745C9E">
      <w:pPr>
        <w:rPr>
          <w:rFonts w:eastAsia="宋体"/>
          <w:b/>
          <w:i/>
          <w:sz w:val="20"/>
          <w:szCs w:val="20"/>
        </w:rPr>
      </w:pPr>
      <w:r w:rsidRPr="00430170">
        <w:rPr>
          <w:rFonts w:eastAsia="宋体"/>
          <w:b/>
          <w:bCs/>
          <w:i/>
          <w:sz w:val="20"/>
          <w:szCs w:val="20"/>
          <w:u w:val="single"/>
        </w:rPr>
        <w:t xml:space="preserve">Observation </w:t>
      </w:r>
      <w:r w:rsidR="00430170" w:rsidRPr="00430170">
        <w:rPr>
          <w:rFonts w:eastAsia="宋体"/>
          <w:b/>
          <w:bCs/>
          <w:i/>
          <w:sz w:val="20"/>
          <w:szCs w:val="20"/>
          <w:u w:val="single"/>
        </w:rPr>
        <w:t>4</w:t>
      </w:r>
      <w:r w:rsidRPr="00430170">
        <w:rPr>
          <w:rFonts w:eastAsia="宋体"/>
          <w:bCs/>
          <w:i/>
          <w:sz w:val="20"/>
          <w:szCs w:val="20"/>
        </w:rPr>
        <w:t xml:space="preserve">: </w:t>
      </w:r>
      <w:r w:rsidRPr="00430170">
        <w:rPr>
          <w:rFonts w:eastAsia="宋体"/>
          <w:b/>
          <w:i/>
          <w:sz w:val="20"/>
          <w:szCs w:val="20"/>
        </w:rPr>
        <w:t>for LTE-NR DC UE’s that are not power limited in the uplink, there is limited performance gain on uplink throughput using simultaneous UL compared to non-simultaneous UL.</w:t>
      </w:r>
    </w:p>
    <w:p w14:paraId="27C48523" w14:textId="77777777" w:rsidR="004E6C24" w:rsidRDefault="004E6C24" w:rsidP="00745C9E">
      <w:pPr>
        <w:rPr>
          <w:rFonts w:eastAsia="宋体"/>
          <w:b/>
          <w:i/>
          <w:sz w:val="22"/>
          <w:szCs w:val="22"/>
        </w:rPr>
      </w:pPr>
    </w:p>
    <w:p w14:paraId="39346057" w14:textId="27A72E69" w:rsidR="004E6C24" w:rsidRDefault="004E6C24" w:rsidP="00745C9E">
      <w:pPr>
        <w:rPr>
          <w:sz w:val="20"/>
          <w:szCs w:val="20"/>
        </w:rPr>
      </w:pPr>
      <w:r>
        <w:rPr>
          <w:rFonts w:eastAsia="宋体"/>
          <w:b/>
          <w:i/>
          <w:sz w:val="22"/>
          <w:szCs w:val="22"/>
        </w:rPr>
        <w:fldChar w:fldCharType="begin"/>
      </w:r>
      <w:r>
        <w:rPr>
          <w:rFonts w:eastAsia="宋体"/>
          <w:b/>
          <w:i/>
          <w:sz w:val="22"/>
          <w:szCs w:val="22"/>
        </w:rPr>
        <w:instrText xml:space="preserve"> REF _Ref494207688 \h </w:instrText>
      </w:r>
      <w:r>
        <w:rPr>
          <w:rFonts w:eastAsia="宋体"/>
          <w:b/>
          <w:i/>
          <w:sz w:val="22"/>
          <w:szCs w:val="22"/>
        </w:rPr>
      </w:r>
      <w:r>
        <w:rPr>
          <w:rFonts w:eastAsia="宋体"/>
          <w:b/>
          <w:i/>
          <w:sz w:val="22"/>
          <w:szCs w:val="22"/>
        </w:rPr>
        <w:fldChar w:fldCharType="separate"/>
      </w:r>
      <w:r w:rsidR="00CB4A54" w:rsidRPr="0035754F">
        <w:rPr>
          <w:sz w:val="20"/>
        </w:rPr>
        <w:t xml:space="preserve">Figure </w:t>
      </w:r>
      <w:r w:rsidR="00CB4A54">
        <w:rPr>
          <w:noProof/>
          <w:sz w:val="20"/>
        </w:rPr>
        <w:t>5</w:t>
      </w:r>
      <w:r>
        <w:rPr>
          <w:rFonts w:eastAsia="宋体"/>
          <w:b/>
          <w:i/>
          <w:sz w:val="22"/>
          <w:szCs w:val="22"/>
        </w:rPr>
        <w:fldChar w:fldCharType="end"/>
      </w:r>
      <w:r>
        <w:rPr>
          <w:rFonts w:eastAsia="宋体"/>
          <w:b/>
          <w:i/>
          <w:sz w:val="22"/>
          <w:szCs w:val="22"/>
        </w:rPr>
        <w:t xml:space="preserve"> </w:t>
      </w:r>
      <w:r w:rsidR="00050779">
        <w:rPr>
          <w:sz w:val="20"/>
          <w:szCs w:val="20"/>
        </w:rPr>
        <w:t xml:space="preserve">shows the </w:t>
      </w:r>
      <w:r w:rsidR="008C45E3">
        <w:rPr>
          <w:sz w:val="20"/>
          <w:szCs w:val="20"/>
        </w:rPr>
        <w:t xml:space="preserve">UL throughput </w:t>
      </w:r>
      <w:r w:rsidR="00050779">
        <w:rPr>
          <w:sz w:val="20"/>
          <w:szCs w:val="20"/>
        </w:rPr>
        <w:t>gain of d</w:t>
      </w:r>
      <w:r w:rsidR="00684D0F">
        <w:rPr>
          <w:sz w:val="20"/>
          <w:szCs w:val="20"/>
        </w:rPr>
        <w:t xml:space="preserve">ual UL as a function of path loss on LTE carrier. To be more representative, it is useful to show the gain as a function of the coverage as well. To </w:t>
      </w:r>
      <w:r w:rsidR="009D189F">
        <w:rPr>
          <w:sz w:val="20"/>
          <w:szCs w:val="20"/>
        </w:rPr>
        <w:t xml:space="preserve">show </w:t>
      </w:r>
      <w:r w:rsidR="00684D0F">
        <w:rPr>
          <w:sz w:val="20"/>
          <w:szCs w:val="20"/>
        </w:rPr>
        <w:t xml:space="preserve">the coverage, each path loss point is </w:t>
      </w:r>
      <w:r w:rsidR="00684D0F">
        <w:rPr>
          <w:sz w:val="20"/>
          <w:szCs w:val="20"/>
        </w:rPr>
        <w:lastRenderedPageBreak/>
        <w:t xml:space="preserve">converted to the distance, i.e.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PL</m:t>
            </m:r>
          </m:sub>
        </m:sSub>
      </m:oMath>
      <w:r w:rsidR="003F5328">
        <w:rPr>
          <w:sz w:val="20"/>
          <w:szCs w:val="20"/>
        </w:rPr>
        <w:t xml:space="preserve">. Assuming a cell has the coverage of 140dB, then for each path loss, the normalized coverage is computed as </w:t>
      </w:r>
      <m:oMath>
        <m:sSup>
          <m:sSupPr>
            <m:ctrlPr>
              <w:rPr>
                <w:rFonts w:ascii="Cambria Math" w:hAnsi="Cambria Math"/>
                <w:i/>
                <w:sz w:val="20"/>
                <w:szCs w:val="20"/>
              </w:rPr>
            </m:ctrlPr>
          </m:sSup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PL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140dB</m:t>
                    </m:r>
                  </m:sub>
                </m:sSub>
              </m:e>
            </m:d>
          </m:e>
          <m:sup>
            <m:r>
              <w:rPr>
                <w:rFonts w:ascii="Cambria Math" w:hAnsi="Cambria Math"/>
                <w:sz w:val="20"/>
                <w:szCs w:val="20"/>
              </w:rPr>
              <m:t>2</m:t>
            </m:r>
          </m:sup>
        </m:sSup>
      </m:oMath>
      <w:r w:rsidR="003F5328">
        <w:rPr>
          <w:sz w:val="20"/>
          <w:szCs w:val="20"/>
        </w:rPr>
        <w:t xml:space="preserve">. </w:t>
      </w:r>
      <w:r w:rsidR="00050779">
        <w:rPr>
          <w:sz w:val="20"/>
          <w:szCs w:val="20"/>
        </w:rPr>
        <w:fldChar w:fldCharType="begin"/>
      </w:r>
      <w:r w:rsidR="00050779">
        <w:rPr>
          <w:sz w:val="20"/>
          <w:szCs w:val="20"/>
        </w:rPr>
        <w:instrText xml:space="preserve"> REF _Ref494352517 \h </w:instrText>
      </w:r>
      <w:r w:rsidR="00050779">
        <w:rPr>
          <w:sz w:val="20"/>
          <w:szCs w:val="20"/>
        </w:rPr>
      </w:r>
      <w:r w:rsidR="00050779">
        <w:rPr>
          <w:sz w:val="20"/>
          <w:szCs w:val="20"/>
        </w:rPr>
        <w:fldChar w:fldCharType="separate"/>
      </w:r>
      <w:r w:rsidR="00050779" w:rsidRPr="0035754F">
        <w:rPr>
          <w:sz w:val="20"/>
        </w:rPr>
        <w:t xml:space="preserve">Figure </w:t>
      </w:r>
      <w:r w:rsidR="00050779">
        <w:rPr>
          <w:noProof/>
          <w:sz w:val="20"/>
        </w:rPr>
        <w:t>6</w:t>
      </w:r>
      <w:r w:rsidR="00050779">
        <w:rPr>
          <w:sz w:val="20"/>
          <w:szCs w:val="20"/>
        </w:rPr>
        <w:fldChar w:fldCharType="end"/>
      </w:r>
      <w:r w:rsidR="00050779">
        <w:rPr>
          <w:sz w:val="20"/>
          <w:szCs w:val="20"/>
        </w:rPr>
        <w:t xml:space="preserve"> shows the gain of dual UL as a function of the coverage. As show</w:t>
      </w:r>
      <w:r w:rsidR="00D86189">
        <w:rPr>
          <w:sz w:val="20"/>
          <w:szCs w:val="20"/>
        </w:rPr>
        <w:t>n</w:t>
      </w:r>
      <w:r w:rsidR="00050779">
        <w:rPr>
          <w:sz w:val="20"/>
          <w:szCs w:val="20"/>
        </w:rPr>
        <w:t xml:space="preserve"> in the figure, UEs in only a small percentage of the cells benefit from dual UL with limited gain.</w:t>
      </w:r>
    </w:p>
    <w:p w14:paraId="2960BC8E" w14:textId="77777777" w:rsidR="003F5328" w:rsidRDefault="003F5328" w:rsidP="00745C9E">
      <w:pPr>
        <w:rPr>
          <w:sz w:val="20"/>
          <w:szCs w:val="20"/>
        </w:rPr>
      </w:pPr>
    </w:p>
    <w:p w14:paraId="7F2E49FB" w14:textId="3066698B" w:rsidR="003F5328" w:rsidRDefault="00CB4A54" w:rsidP="00CB4A54">
      <w:pPr>
        <w:jc w:val="center"/>
        <w:rPr>
          <w:rFonts w:eastAsia="宋体"/>
          <w:b/>
          <w:i/>
          <w:sz w:val="22"/>
          <w:szCs w:val="22"/>
        </w:rPr>
      </w:pPr>
      <w:r w:rsidRPr="00CB4A54">
        <w:rPr>
          <w:rFonts w:eastAsia="宋体"/>
          <w:b/>
          <w:i/>
          <w:noProof/>
          <w:sz w:val="22"/>
          <w:szCs w:val="22"/>
          <w:lang w:eastAsia="en-US"/>
        </w:rPr>
        <w:drawing>
          <wp:inline distT="0" distB="0" distL="0" distR="0" wp14:anchorId="63EBB476" wp14:editId="140F22C6">
            <wp:extent cx="4279392" cy="320954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79392" cy="3209544"/>
                    </a:xfrm>
                    <a:prstGeom prst="rect">
                      <a:avLst/>
                    </a:prstGeom>
                  </pic:spPr>
                </pic:pic>
              </a:graphicData>
            </a:graphic>
          </wp:inline>
        </w:drawing>
      </w:r>
    </w:p>
    <w:p w14:paraId="2DD91D71" w14:textId="08DD108E" w:rsidR="00745C9E" w:rsidRDefault="00CB4A54" w:rsidP="006A1E84">
      <w:pPr>
        <w:pStyle w:val="Caption"/>
        <w:rPr>
          <w:sz w:val="20"/>
        </w:rPr>
      </w:pPr>
      <w:bookmarkStart w:id="5" w:name="_Ref494352517"/>
      <w:r w:rsidRPr="0035754F">
        <w:rPr>
          <w:sz w:val="20"/>
        </w:rPr>
        <w:t xml:space="preserve">Figure </w:t>
      </w:r>
      <w:r w:rsidRPr="0035754F">
        <w:rPr>
          <w:sz w:val="20"/>
        </w:rPr>
        <w:fldChar w:fldCharType="begin"/>
      </w:r>
      <w:r w:rsidRPr="0035754F">
        <w:rPr>
          <w:sz w:val="20"/>
        </w:rPr>
        <w:instrText xml:space="preserve"> SEQ Figure \* ARABIC </w:instrText>
      </w:r>
      <w:r w:rsidRPr="0035754F">
        <w:rPr>
          <w:sz w:val="20"/>
        </w:rPr>
        <w:fldChar w:fldCharType="separate"/>
      </w:r>
      <w:r w:rsidR="00934191">
        <w:rPr>
          <w:noProof/>
          <w:sz w:val="20"/>
        </w:rPr>
        <w:t>7</w:t>
      </w:r>
      <w:r w:rsidRPr="0035754F">
        <w:rPr>
          <w:sz w:val="20"/>
        </w:rPr>
        <w:fldChar w:fldCharType="end"/>
      </w:r>
      <w:bookmarkEnd w:id="5"/>
      <w:r w:rsidRPr="0035754F">
        <w:rPr>
          <w:sz w:val="20"/>
        </w:rPr>
        <w:t xml:space="preserve"> UL throughput</w:t>
      </w:r>
      <w:r>
        <w:rPr>
          <w:sz w:val="20"/>
        </w:rPr>
        <w:t xml:space="preserve"> comparison dual UL gain over single UL</w:t>
      </w:r>
      <w:r w:rsidR="006A1E84">
        <w:rPr>
          <w:sz w:val="20"/>
        </w:rPr>
        <w:t>: Coverage</w:t>
      </w:r>
    </w:p>
    <w:p w14:paraId="5F965BB7" w14:textId="68C7E086" w:rsidR="00A7516F" w:rsidRDefault="00A7516F" w:rsidP="00A7516F">
      <w:pPr>
        <w:rPr>
          <w:sz w:val="20"/>
          <w:szCs w:val="20"/>
        </w:rPr>
      </w:pPr>
      <w:r w:rsidRPr="00A7516F">
        <w:rPr>
          <w:sz w:val="20"/>
          <w:szCs w:val="20"/>
        </w:rPr>
        <w:t>Based on the above observations, we propose the following:</w:t>
      </w:r>
    </w:p>
    <w:p w14:paraId="56FD6CA4" w14:textId="2213B8D5" w:rsidR="00A7516F" w:rsidRPr="002811C3" w:rsidRDefault="00A7516F" w:rsidP="00A7516F">
      <w:pPr>
        <w:rPr>
          <w:b/>
          <w:i/>
          <w:sz w:val="20"/>
          <w:szCs w:val="20"/>
        </w:rPr>
      </w:pPr>
      <w:r w:rsidRPr="002811C3">
        <w:rPr>
          <w:b/>
          <w:i/>
          <w:sz w:val="20"/>
          <w:szCs w:val="20"/>
          <w:u w:val="single"/>
        </w:rPr>
        <w:t>Proposal 1</w:t>
      </w:r>
      <w:r w:rsidRPr="002811C3">
        <w:rPr>
          <w:b/>
          <w:i/>
          <w:sz w:val="20"/>
          <w:szCs w:val="20"/>
        </w:rPr>
        <w:t xml:space="preserve">: </w:t>
      </w:r>
      <w:r w:rsidR="002811C3" w:rsidRPr="002811C3">
        <w:rPr>
          <w:b/>
          <w:i/>
          <w:sz w:val="20"/>
          <w:szCs w:val="20"/>
        </w:rPr>
        <w:t xml:space="preserve">For the difficult band combinations defined by RAN4, network should simply configure the UE to operate in single </w:t>
      </w:r>
      <w:proofErr w:type="spellStart"/>
      <w:r w:rsidR="002811C3" w:rsidRPr="002811C3">
        <w:rPr>
          <w:b/>
          <w:i/>
          <w:sz w:val="20"/>
          <w:szCs w:val="20"/>
        </w:rPr>
        <w:t>Tx</w:t>
      </w:r>
      <w:proofErr w:type="spellEnd"/>
      <w:r w:rsidR="002811C3" w:rsidRPr="002811C3">
        <w:rPr>
          <w:b/>
          <w:i/>
          <w:sz w:val="20"/>
          <w:szCs w:val="20"/>
        </w:rPr>
        <w:t xml:space="preserve"> switched UL mode, and preferably with case 1 HARQ timing.</w:t>
      </w:r>
    </w:p>
    <w:p w14:paraId="11A957B8" w14:textId="77777777" w:rsidR="00FB330B" w:rsidRPr="00353FD1" w:rsidRDefault="00FB330B" w:rsidP="00536FF6">
      <w:pPr>
        <w:rPr>
          <w:sz w:val="20"/>
          <w:szCs w:val="20"/>
        </w:rPr>
      </w:pPr>
    </w:p>
    <w:p w14:paraId="2896E657" w14:textId="77777777" w:rsidR="00854A60" w:rsidRPr="00FB330B" w:rsidRDefault="009C5A97" w:rsidP="00FB330B">
      <w:pPr>
        <w:pStyle w:val="Heading1"/>
      </w:pPr>
      <w:r w:rsidRPr="00FB330B">
        <w:t>Conclusion</w:t>
      </w:r>
      <w:r w:rsidR="004424BC" w:rsidRPr="00FB330B">
        <w:t>s</w:t>
      </w:r>
    </w:p>
    <w:p w14:paraId="400F6FCC" w14:textId="77777777" w:rsidR="000A1967" w:rsidRPr="00A7516F" w:rsidRDefault="000A1967" w:rsidP="000A1967">
      <w:pPr>
        <w:rPr>
          <w:rFonts w:eastAsia="ＭＳ 明朝"/>
          <w:sz w:val="20"/>
          <w:szCs w:val="20"/>
          <w:lang w:eastAsia="ja-JP"/>
        </w:rPr>
      </w:pPr>
      <w:r w:rsidRPr="00A7516F">
        <w:rPr>
          <w:rFonts w:eastAsia="ＭＳ 明朝"/>
          <w:sz w:val="20"/>
          <w:szCs w:val="20"/>
          <w:lang w:eastAsia="ja-JP"/>
        </w:rPr>
        <w:t>In this contribution, we provide the numerical results comparing the performance of dual UL and single UL performance from both the UL and DL perspective. Based on the evaluation results, we can make the following observations</w:t>
      </w:r>
    </w:p>
    <w:p w14:paraId="2B40B6EF" w14:textId="77777777" w:rsidR="00EC2CE4" w:rsidRDefault="00EC2CE4" w:rsidP="00854A60">
      <w:pPr>
        <w:rPr>
          <w:sz w:val="20"/>
          <w:szCs w:val="20"/>
        </w:rPr>
      </w:pPr>
    </w:p>
    <w:p w14:paraId="27792336" w14:textId="77777777" w:rsidR="00430170" w:rsidRDefault="00430170" w:rsidP="00430170">
      <w:pPr>
        <w:jc w:val="both"/>
        <w:rPr>
          <w:rFonts w:eastAsia="ＭＳ 明朝"/>
          <w:sz w:val="20"/>
          <w:szCs w:val="20"/>
          <w:lang w:eastAsia="ja-JP"/>
        </w:rPr>
      </w:pPr>
      <w:r w:rsidRPr="0026488F">
        <w:rPr>
          <w:rFonts w:eastAsia="ＭＳ 明朝"/>
          <w:b/>
          <w:i/>
          <w:sz w:val="20"/>
          <w:szCs w:val="20"/>
          <w:u w:val="single"/>
          <w:lang w:eastAsia="ja-JP"/>
        </w:rPr>
        <w:t>Observation 1</w:t>
      </w:r>
      <w:r w:rsidRPr="0026488F">
        <w:rPr>
          <w:rFonts w:eastAsia="ＭＳ 明朝"/>
          <w:b/>
          <w:i/>
          <w:sz w:val="20"/>
          <w:szCs w:val="20"/>
          <w:lang w:eastAsia="ja-JP"/>
        </w:rPr>
        <w:t xml:space="preserve">: for single </w:t>
      </w:r>
      <w:proofErr w:type="spellStart"/>
      <w:r w:rsidRPr="0026488F">
        <w:rPr>
          <w:rFonts w:eastAsia="ＭＳ 明朝"/>
          <w:b/>
          <w:i/>
          <w:sz w:val="20"/>
          <w:szCs w:val="20"/>
          <w:lang w:eastAsia="ja-JP"/>
        </w:rPr>
        <w:t>Tx</w:t>
      </w:r>
      <w:proofErr w:type="spellEnd"/>
      <w:r w:rsidRPr="0026488F">
        <w:rPr>
          <w:rFonts w:eastAsia="ＭＳ 明朝"/>
          <w:b/>
          <w:i/>
          <w:sz w:val="20"/>
          <w:szCs w:val="20"/>
          <w:lang w:eastAsia="ja-JP"/>
        </w:rPr>
        <w:t xml:space="preserve"> switched UL, if LTE carrier HARQ timing is configured based on case 2 of the RAN1 agreement, the semi-static TDD UL pattern should assign either all even UL sub-frames or all odd UL sub-frames to the LTE carrier</w:t>
      </w:r>
      <w:r>
        <w:rPr>
          <w:rFonts w:eastAsia="ＭＳ 明朝"/>
          <w:sz w:val="20"/>
          <w:szCs w:val="20"/>
          <w:lang w:eastAsia="ja-JP"/>
        </w:rPr>
        <w:t>.</w:t>
      </w:r>
    </w:p>
    <w:p w14:paraId="6F122DEF" w14:textId="77777777" w:rsidR="00430170" w:rsidRDefault="00430170" w:rsidP="000A1967">
      <w:pPr>
        <w:rPr>
          <w:rFonts w:eastAsia="宋体"/>
          <w:b/>
          <w:bCs/>
          <w:i/>
          <w:sz w:val="22"/>
          <w:szCs w:val="22"/>
          <w:u w:val="single"/>
        </w:rPr>
      </w:pPr>
    </w:p>
    <w:p w14:paraId="14E9BF68" w14:textId="77777777" w:rsidR="00430170" w:rsidRPr="00C65EFC" w:rsidRDefault="00430170" w:rsidP="00430170">
      <w:pPr>
        <w:jc w:val="both"/>
        <w:rPr>
          <w:rFonts w:eastAsia="ＭＳ 明朝"/>
          <w:sz w:val="20"/>
          <w:szCs w:val="20"/>
          <w:lang w:eastAsia="ja-JP"/>
        </w:rPr>
      </w:pPr>
      <w:r w:rsidRPr="0026488F">
        <w:rPr>
          <w:rFonts w:eastAsia="ＭＳ 明朝"/>
          <w:b/>
          <w:i/>
          <w:sz w:val="20"/>
          <w:szCs w:val="20"/>
          <w:u w:val="single"/>
          <w:lang w:eastAsia="ja-JP"/>
        </w:rPr>
        <w:t>Observation 2</w:t>
      </w:r>
      <w:r w:rsidRPr="0026488F">
        <w:rPr>
          <w:rFonts w:eastAsia="ＭＳ 明朝"/>
          <w:b/>
          <w:i/>
          <w:sz w:val="20"/>
          <w:szCs w:val="20"/>
          <w:lang w:eastAsia="ja-JP"/>
        </w:rPr>
        <w:t xml:space="preserve">: for single </w:t>
      </w:r>
      <w:proofErr w:type="spellStart"/>
      <w:r w:rsidRPr="0026488F">
        <w:rPr>
          <w:rFonts w:eastAsia="ＭＳ 明朝"/>
          <w:b/>
          <w:i/>
          <w:sz w:val="20"/>
          <w:szCs w:val="20"/>
          <w:lang w:eastAsia="ja-JP"/>
        </w:rPr>
        <w:t>Tx</w:t>
      </w:r>
      <w:proofErr w:type="spellEnd"/>
      <w:r w:rsidRPr="0026488F">
        <w:rPr>
          <w:rFonts w:eastAsia="ＭＳ 明朝"/>
          <w:b/>
          <w:i/>
          <w:sz w:val="20"/>
          <w:szCs w:val="20"/>
          <w:lang w:eastAsia="ja-JP"/>
        </w:rPr>
        <w:t xml:space="preserve"> switched UL, case 1 from the previously agreed HARQ timing configuration is more efficient than case 2 in terms of LTE downlink resource utilization and TDM UL pattern flexibility</w:t>
      </w:r>
      <w:r>
        <w:rPr>
          <w:rFonts w:eastAsia="ＭＳ 明朝"/>
          <w:sz w:val="20"/>
          <w:szCs w:val="20"/>
          <w:lang w:eastAsia="ja-JP"/>
        </w:rPr>
        <w:t>.</w:t>
      </w:r>
    </w:p>
    <w:p w14:paraId="6660B672" w14:textId="77777777" w:rsidR="00430170" w:rsidRDefault="00430170" w:rsidP="000A1967">
      <w:pPr>
        <w:rPr>
          <w:rFonts w:eastAsia="宋体"/>
          <w:b/>
          <w:bCs/>
          <w:i/>
          <w:sz w:val="22"/>
          <w:szCs w:val="22"/>
          <w:u w:val="single"/>
        </w:rPr>
      </w:pPr>
    </w:p>
    <w:p w14:paraId="6CB6AFC9" w14:textId="25D5600D" w:rsidR="000A1967" w:rsidRPr="00430170" w:rsidRDefault="000A1967" w:rsidP="000A1967">
      <w:pPr>
        <w:rPr>
          <w:rFonts w:eastAsia="宋体"/>
          <w:b/>
          <w:i/>
          <w:sz w:val="20"/>
          <w:szCs w:val="20"/>
        </w:rPr>
      </w:pPr>
      <w:r w:rsidRPr="00430170">
        <w:rPr>
          <w:rFonts w:eastAsia="宋体"/>
          <w:b/>
          <w:bCs/>
          <w:i/>
          <w:sz w:val="20"/>
          <w:szCs w:val="20"/>
          <w:u w:val="single"/>
        </w:rPr>
        <w:t xml:space="preserve">Observation </w:t>
      </w:r>
      <w:r w:rsidR="00430170" w:rsidRPr="00430170">
        <w:rPr>
          <w:rFonts w:eastAsia="宋体"/>
          <w:b/>
          <w:bCs/>
          <w:i/>
          <w:sz w:val="20"/>
          <w:szCs w:val="20"/>
          <w:u w:val="single"/>
        </w:rPr>
        <w:t>3</w:t>
      </w:r>
      <w:r w:rsidRPr="00430170">
        <w:rPr>
          <w:rFonts w:eastAsia="宋体"/>
          <w:bCs/>
          <w:i/>
          <w:sz w:val="20"/>
          <w:szCs w:val="20"/>
        </w:rPr>
        <w:t xml:space="preserve">: </w:t>
      </w:r>
      <w:r w:rsidRPr="00430170">
        <w:rPr>
          <w:rFonts w:eastAsia="宋体"/>
          <w:b/>
          <w:i/>
          <w:sz w:val="20"/>
          <w:szCs w:val="20"/>
        </w:rPr>
        <w:t>for LTE-NR DC UE’s that are power limited in the uplink, there is negligible impact, or even performance gain, on uplink throughput using non-simultaneous UL compared to simultaneous UL.</w:t>
      </w:r>
    </w:p>
    <w:p w14:paraId="37829E5E" w14:textId="77777777" w:rsidR="005150B5" w:rsidRPr="00430170" w:rsidRDefault="005150B5" w:rsidP="000A1967">
      <w:pPr>
        <w:rPr>
          <w:rFonts w:eastAsia="宋体"/>
          <w:b/>
          <w:i/>
          <w:sz w:val="20"/>
          <w:szCs w:val="20"/>
        </w:rPr>
      </w:pPr>
    </w:p>
    <w:p w14:paraId="290248CD" w14:textId="7CAED371" w:rsidR="000A1967" w:rsidRPr="00430170" w:rsidRDefault="000A1967" w:rsidP="000A1967">
      <w:pPr>
        <w:rPr>
          <w:rFonts w:eastAsia="宋体"/>
          <w:b/>
          <w:i/>
          <w:sz w:val="20"/>
          <w:szCs w:val="20"/>
        </w:rPr>
      </w:pPr>
      <w:r w:rsidRPr="00430170">
        <w:rPr>
          <w:rFonts w:eastAsia="宋体"/>
          <w:b/>
          <w:bCs/>
          <w:i/>
          <w:sz w:val="20"/>
          <w:szCs w:val="20"/>
          <w:u w:val="single"/>
        </w:rPr>
        <w:t xml:space="preserve">Observation </w:t>
      </w:r>
      <w:r w:rsidR="00430170" w:rsidRPr="00430170">
        <w:rPr>
          <w:rFonts w:eastAsia="宋体"/>
          <w:b/>
          <w:bCs/>
          <w:i/>
          <w:sz w:val="20"/>
          <w:szCs w:val="20"/>
          <w:u w:val="single"/>
        </w:rPr>
        <w:t>4</w:t>
      </w:r>
      <w:r w:rsidRPr="00430170">
        <w:rPr>
          <w:rFonts w:eastAsia="宋体"/>
          <w:bCs/>
          <w:i/>
          <w:sz w:val="20"/>
          <w:szCs w:val="20"/>
        </w:rPr>
        <w:t xml:space="preserve">: </w:t>
      </w:r>
      <w:r w:rsidRPr="00430170">
        <w:rPr>
          <w:rFonts w:eastAsia="宋体"/>
          <w:b/>
          <w:i/>
          <w:sz w:val="20"/>
          <w:szCs w:val="20"/>
        </w:rPr>
        <w:t>for LTE-NR DC UE’s that are not power limited in the uplink, there is limited performance gain on uplink throughput using simultaneous UL compared to non-simultaneous UL.</w:t>
      </w:r>
    </w:p>
    <w:p w14:paraId="57AFB358" w14:textId="77777777" w:rsidR="007F3AD7" w:rsidRDefault="007F3AD7" w:rsidP="007F3AD7">
      <w:pPr>
        <w:rPr>
          <w:rFonts w:eastAsia="宋体"/>
          <w:b/>
          <w:bCs/>
          <w:i/>
          <w:sz w:val="22"/>
          <w:szCs w:val="22"/>
          <w:u w:val="single"/>
        </w:rPr>
      </w:pPr>
    </w:p>
    <w:p w14:paraId="6D766DDA" w14:textId="77777777" w:rsidR="00C65572" w:rsidRDefault="00C65572" w:rsidP="007F3AD7">
      <w:pPr>
        <w:rPr>
          <w:rFonts w:eastAsia="宋体"/>
          <w:b/>
          <w:i/>
          <w:sz w:val="22"/>
          <w:szCs w:val="22"/>
        </w:rPr>
      </w:pPr>
    </w:p>
    <w:p w14:paraId="73613C4D" w14:textId="77777777" w:rsidR="007F6B18" w:rsidRPr="00A7516F" w:rsidRDefault="007F6B18" w:rsidP="007F3AD7">
      <w:pPr>
        <w:rPr>
          <w:rFonts w:eastAsia="ＭＳ 明朝"/>
          <w:sz w:val="20"/>
          <w:szCs w:val="20"/>
          <w:lang w:eastAsia="ja-JP"/>
        </w:rPr>
      </w:pPr>
      <w:r w:rsidRPr="00A7516F">
        <w:rPr>
          <w:rFonts w:eastAsia="ＭＳ 明朝"/>
          <w:sz w:val="20"/>
          <w:szCs w:val="20"/>
          <w:lang w:eastAsia="ja-JP"/>
        </w:rPr>
        <w:t>We also propose the following</w:t>
      </w:r>
    </w:p>
    <w:p w14:paraId="74535CC4" w14:textId="77777777" w:rsidR="007F3AD7" w:rsidRDefault="007F3AD7" w:rsidP="000A1967">
      <w:pPr>
        <w:rPr>
          <w:rFonts w:eastAsia="宋体"/>
          <w:b/>
          <w:i/>
          <w:sz w:val="22"/>
          <w:szCs w:val="22"/>
        </w:rPr>
      </w:pPr>
    </w:p>
    <w:p w14:paraId="34F0814A" w14:textId="77777777" w:rsidR="002811C3" w:rsidRPr="002811C3" w:rsidRDefault="002811C3" w:rsidP="002811C3">
      <w:pPr>
        <w:rPr>
          <w:b/>
          <w:i/>
          <w:sz w:val="20"/>
          <w:szCs w:val="20"/>
        </w:rPr>
      </w:pPr>
      <w:r w:rsidRPr="002811C3">
        <w:rPr>
          <w:b/>
          <w:i/>
          <w:sz w:val="20"/>
          <w:szCs w:val="20"/>
          <w:u w:val="single"/>
        </w:rPr>
        <w:t>Proposal 1</w:t>
      </w:r>
      <w:r w:rsidRPr="002811C3">
        <w:rPr>
          <w:b/>
          <w:i/>
          <w:sz w:val="20"/>
          <w:szCs w:val="20"/>
        </w:rPr>
        <w:t xml:space="preserve">: For the difficult band combinations defined by RAN4, network should simply configure the UE to operate in single </w:t>
      </w:r>
      <w:proofErr w:type="spellStart"/>
      <w:r w:rsidRPr="002811C3">
        <w:rPr>
          <w:b/>
          <w:i/>
          <w:sz w:val="20"/>
          <w:szCs w:val="20"/>
        </w:rPr>
        <w:t>Tx</w:t>
      </w:r>
      <w:proofErr w:type="spellEnd"/>
      <w:r w:rsidRPr="002811C3">
        <w:rPr>
          <w:b/>
          <w:i/>
          <w:sz w:val="20"/>
          <w:szCs w:val="20"/>
        </w:rPr>
        <w:t xml:space="preserve"> switched UL mode, and preferably with case 1 HARQ timing.</w:t>
      </w:r>
    </w:p>
    <w:p w14:paraId="6D068700" w14:textId="77777777" w:rsidR="00CD4074" w:rsidRDefault="00CD4074" w:rsidP="0005407B">
      <w:pPr>
        <w:jc w:val="both"/>
        <w:rPr>
          <w:b/>
          <w:sz w:val="20"/>
          <w:szCs w:val="20"/>
        </w:rPr>
      </w:pPr>
      <w:bookmarkStart w:id="6" w:name="_GoBack"/>
      <w:bookmarkEnd w:id="6"/>
    </w:p>
    <w:p w14:paraId="2E75F001" w14:textId="77777777" w:rsidR="007E70BB" w:rsidRPr="007E70BB" w:rsidRDefault="005C63AE" w:rsidP="007E70BB">
      <w:pPr>
        <w:pStyle w:val="Heading1"/>
      </w:pPr>
      <w:r>
        <w:lastRenderedPageBreak/>
        <w:t>References</w:t>
      </w:r>
    </w:p>
    <w:p w14:paraId="7D852A81" w14:textId="77777777" w:rsidR="00963322" w:rsidRPr="00E77071" w:rsidRDefault="00963322" w:rsidP="00963322">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7" w:name="_Ref485052628"/>
      <w:r>
        <w:rPr>
          <w:sz w:val="22"/>
          <w:szCs w:val="22"/>
        </w:rPr>
        <w:t>RP-170857, “</w:t>
      </w:r>
      <w:r w:rsidRPr="00E77071">
        <w:rPr>
          <w:sz w:val="22"/>
          <w:szCs w:val="22"/>
        </w:rPr>
        <w:t>Draft Report of 3GPP TSG RAN meeting #75</w:t>
      </w:r>
      <w:r w:rsidRPr="00F660ED">
        <w:rPr>
          <w:sz w:val="22"/>
          <w:szCs w:val="22"/>
        </w:rPr>
        <w:t>”, 3GPP TSG RAN meeting #75, Dubrovnik, Croatia, March 6</w:t>
      </w:r>
      <w:r w:rsidRPr="00E77071">
        <w:rPr>
          <w:sz w:val="22"/>
          <w:szCs w:val="22"/>
        </w:rPr>
        <w:t>th</w:t>
      </w:r>
      <w:r w:rsidRPr="00F660ED">
        <w:rPr>
          <w:sz w:val="22"/>
          <w:szCs w:val="22"/>
        </w:rPr>
        <w:t>-9</w:t>
      </w:r>
      <w:r w:rsidRPr="00E77071">
        <w:rPr>
          <w:sz w:val="22"/>
          <w:szCs w:val="22"/>
        </w:rPr>
        <w:t>th</w:t>
      </w:r>
      <w:r w:rsidRPr="00F660ED">
        <w:rPr>
          <w:sz w:val="22"/>
          <w:szCs w:val="22"/>
        </w:rPr>
        <w:t>, 2017.</w:t>
      </w:r>
      <w:bookmarkEnd w:id="7"/>
    </w:p>
    <w:p w14:paraId="78BC9663" w14:textId="77777777" w:rsidR="00963322" w:rsidRDefault="00963322" w:rsidP="00963322">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8" w:name="_Ref485052638"/>
      <w:r>
        <w:rPr>
          <w:sz w:val="22"/>
          <w:szCs w:val="22"/>
        </w:rPr>
        <w:t>RP-170741, “</w:t>
      </w:r>
      <w:r w:rsidRPr="00F660ED">
        <w:rPr>
          <w:sz w:val="22"/>
          <w:szCs w:val="22"/>
        </w:rPr>
        <w:t xml:space="preserve">Way Forward on the overall 5G-NR </w:t>
      </w:r>
      <w:proofErr w:type="spellStart"/>
      <w:r w:rsidRPr="00F660ED">
        <w:rPr>
          <w:sz w:val="22"/>
          <w:szCs w:val="22"/>
        </w:rPr>
        <w:t>eMBB</w:t>
      </w:r>
      <w:proofErr w:type="spellEnd"/>
      <w:r w:rsidRPr="00F660ED">
        <w:rPr>
          <w:sz w:val="22"/>
          <w:szCs w:val="22"/>
        </w:rPr>
        <w:t xml:space="preserve"> </w:t>
      </w:r>
      <w:proofErr w:type="spellStart"/>
      <w:r w:rsidRPr="00F660ED">
        <w:rPr>
          <w:sz w:val="22"/>
          <w:szCs w:val="22"/>
        </w:rPr>
        <w:t>workplan</w:t>
      </w:r>
      <w:proofErr w:type="spellEnd"/>
      <w:r w:rsidRPr="00F660ED">
        <w:rPr>
          <w:sz w:val="22"/>
          <w:szCs w:val="22"/>
        </w:rPr>
        <w:t>”</w:t>
      </w:r>
      <w:r>
        <w:rPr>
          <w:sz w:val="22"/>
          <w:szCs w:val="22"/>
        </w:rPr>
        <w:t>, 3GPP TSG RAN meeting #75, Dubrovnik, Croatia, March 6</w:t>
      </w:r>
      <w:r w:rsidRPr="00F660ED">
        <w:rPr>
          <w:sz w:val="22"/>
          <w:szCs w:val="22"/>
          <w:vertAlign w:val="superscript"/>
        </w:rPr>
        <w:t>th</w:t>
      </w:r>
      <w:r>
        <w:rPr>
          <w:sz w:val="22"/>
          <w:szCs w:val="22"/>
        </w:rPr>
        <w:t xml:space="preserve"> – 9</w:t>
      </w:r>
      <w:r w:rsidRPr="00F660ED">
        <w:rPr>
          <w:sz w:val="22"/>
          <w:szCs w:val="22"/>
          <w:vertAlign w:val="superscript"/>
        </w:rPr>
        <w:t>th</w:t>
      </w:r>
      <w:r>
        <w:rPr>
          <w:sz w:val="22"/>
          <w:szCs w:val="22"/>
        </w:rPr>
        <w:t>, 2017.</w:t>
      </w:r>
      <w:bookmarkEnd w:id="8"/>
    </w:p>
    <w:p w14:paraId="75E25A29" w14:textId="77777777" w:rsidR="00963322" w:rsidRDefault="00963322" w:rsidP="00963322">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9" w:name="_Ref485406401"/>
      <w:r>
        <w:rPr>
          <w:sz w:val="22"/>
          <w:szCs w:val="22"/>
        </w:rPr>
        <w:t>3GPP TR 38.801, “Study on new radio access technology: Radio access architecture and interfaces”, V14.0.0, 2017-03.</w:t>
      </w:r>
      <w:bookmarkEnd w:id="9"/>
    </w:p>
    <w:p w14:paraId="07A9BD07" w14:textId="77777777" w:rsidR="00C42D49" w:rsidRDefault="00C42D49" w:rsidP="00C42D49">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0" w:name="_Ref485064906"/>
      <w:r>
        <w:rPr>
          <w:sz w:val="22"/>
          <w:szCs w:val="22"/>
        </w:rPr>
        <w:t>R1-1708276, “Uplink sharing in NSA mode”, 3GPP RAN1#89,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10"/>
    </w:p>
    <w:p w14:paraId="15C558D6" w14:textId="77777777" w:rsidR="00C42D49" w:rsidRPr="00F660ED" w:rsidRDefault="00C42D49" w:rsidP="00C42D49">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1" w:name="_Ref485064908"/>
      <w:r>
        <w:rPr>
          <w:sz w:val="22"/>
          <w:szCs w:val="22"/>
        </w:rPr>
        <w:t>R4-1704759, “</w:t>
      </w:r>
      <w:r w:rsidRPr="00C1559E">
        <w:rPr>
          <w:rFonts w:hint="eastAsia"/>
          <w:sz w:val="22"/>
          <w:szCs w:val="22"/>
          <w:lang w:val="en-GB"/>
        </w:rPr>
        <w:t>C</w:t>
      </w:r>
      <w:r w:rsidRPr="00C1559E">
        <w:rPr>
          <w:sz w:val="22"/>
          <w:szCs w:val="22"/>
          <w:lang w:val="en-GB"/>
        </w:rPr>
        <w:t>o</w:t>
      </w:r>
      <w:r w:rsidRPr="00C1559E">
        <w:rPr>
          <w:rFonts w:hint="eastAsia"/>
          <w:sz w:val="22"/>
          <w:szCs w:val="22"/>
          <w:lang w:val="en-GB"/>
        </w:rPr>
        <w:t>-</w:t>
      </w:r>
      <w:r w:rsidRPr="00C1559E">
        <w:rPr>
          <w:sz w:val="22"/>
          <w:szCs w:val="22"/>
          <w:lang w:val="en-GB"/>
        </w:rPr>
        <w:t>existence analysis</w:t>
      </w:r>
      <w:r w:rsidRPr="00C1559E">
        <w:rPr>
          <w:rFonts w:hint="eastAsia"/>
          <w:sz w:val="22"/>
          <w:szCs w:val="22"/>
          <w:lang w:val="en-GB"/>
        </w:rPr>
        <w:t xml:space="preserve"> on </w:t>
      </w:r>
      <w:r w:rsidRPr="00C1559E">
        <w:rPr>
          <w:sz w:val="22"/>
          <w:szCs w:val="22"/>
          <w:lang w:val="en-GB"/>
        </w:rPr>
        <w:t>LTE-NR band combinations</w:t>
      </w:r>
      <w:r>
        <w:rPr>
          <w:sz w:val="22"/>
          <w:szCs w:val="22"/>
        </w:rPr>
        <w:t>”, 3GPP RAN4 #83,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bookmarkEnd w:id="11"/>
    </w:p>
    <w:p w14:paraId="4EEDD26C" w14:textId="18655B21" w:rsidR="00C42D49" w:rsidRDefault="00C42D49" w:rsidP="00C42D49">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2" w:name="_Ref481669477"/>
      <w:r>
        <w:rPr>
          <w:sz w:val="22"/>
          <w:szCs w:val="22"/>
        </w:rPr>
        <w:t>R4-1704411, “</w:t>
      </w:r>
      <w:r w:rsidRPr="002E379E">
        <w:rPr>
          <w:rFonts w:hint="eastAsia"/>
          <w:sz w:val="22"/>
          <w:szCs w:val="22"/>
          <w:lang w:val="en-GB"/>
        </w:rPr>
        <w:t>Proposal of frequency ranges for LTE-NR coexistence with UL sharing</w:t>
      </w:r>
      <w:r>
        <w:rPr>
          <w:sz w:val="22"/>
          <w:szCs w:val="22"/>
        </w:rPr>
        <w:t>”, RAN4#82bis, Spokane, US, April 3-7, 2017</w:t>
      </w:r>
      <w:bookmarkEnd w:id="12"/>
      <w:r w:rsidR="00100B06">
        <w:rPr>
          <w:sz w:val="22"/>
          <w:szCs w:val="22"/>
        </w:rPr>
        <w:t>.</w:t>
      </w:r>
    </w:p>
    <w:p w14:paraId="749CBBCE" w14:textId="47EE349E" w:rsidR="0098168C" w:rsidRDefault="0098168C" w:rsidP="00C42D49">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3" w:name="_Ref494651832"/>
      <w:r>
        <w:rPr>
          <w:sz w:val="22"/>
          <w:szCs w:val="22"/>
        </w:rPr>
        <w:t xml:space="preserve">RP-172064, “Single </w:t>
      </w:r>
      <w:proofErr w:type="spellStart"/>
      <w:r>
        <w:rPr>
          <w:sz w:val="22"/>
          <w:szCs w:val="22"/>
        </w:rPr>
        <w:t>Tx</w:t>
      </w:r>
      <w:proofErr w:type="spellEnd"/>
      <w:r>
        <w:rPr>
          <w:sz w:val="22"/>
          <w:szCs w:val="22"/>
        </w:rPr>
        <w:t xml:space="preserve"> switched UL”, 3GPP RAN #77, Sapporo, Japan, September 11-14, 2017</w:t>
      </w:r>
      <w:bookmarkEnd w:id="13"/>
      <w:r w:rsidR="00100B06">
        <w:rPr>
          <w:sz w:val="22"/>
          <w:szCs w:val="22"/>
        </w:rPr>
        <w:t>.</w:t>
      </w:r>
    </w:p>
    <w:p w14:paraId="3A932717" w14:textId="3D92E87F" w:rsidR="00726300" w:rsidRDefault="00726300" w:rsidP="00C42D49">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4" w:name="_Ref494651834"/>
      <w:r>
        <w:rPr>
          <w:sz w:val="22"/>
          <w:szCs w:val="22"/>
        </w:rPr>
        <w:t>RP-</w:t>
      </w:r>
      <w:r w:rsidR="00E75471">
        <w:rPr>
          <w:sz w:val="22"/>
          <w:szCs w:val="22"/>
        </w:rPr>
        <w:t xml:space="preserve">172085, “Signaling for single/dual UL </w:t>
      </w:r>
      <w:proofErr w:type="spellStart"/>
      <w:r w:rsidR="00E75471">
        <w:rPr>
          <w:sz w:val="22"/>
          <w:szCs w:val="22"/>
        </w:rPr>
        <w:t>Tx</w:t>
      </w:r>
      <w:proofErr w:type="spellEnd"/>
      <w:r w:rsidR="00E75471">
        <w:rPr>
          <w:sz w:val="22"/>
          <w:szCs w:val="22"/>
        </w:rPr>
        <w:t>”, 3GPP RAN #77, Sapporo, Japan, September 11-14, 2017</w:t>
      </w:r>
      <w:bookmarkEnd w:id="14"/>
      <w:r w:rsidR="00100B06">
        <w:rPr>
          <w:sz w:val="22"/>
          <w:szCs w:val="22"/>
        </w:rPr>
        <w:t>.</w:t>
      </w:r>
    </w:p>
    <w:p w14:paraId="38AD46F2" w14:textId="75905828" w:rsidR="00E75471" w:rsidRDefault="00E75471" w:rsidP="00C42D49">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5" w:name="_Ref494651835"/>
      <w:r>
        <w:rPr>
          <w:sz w:val="22"/>
          <w:szCs w:val="22"/>
        </w:rPr>
        <w:t xml:space="preserve">RP-172100, “LS on single </w:t>
      </w:r>
      <w:proofErr w:type="spellStart"/>
      <w:r>
        <w:rPr>
          <w:sz w:val="22"/>
          <w:szCs w:val="22"/>
        </w:rPr>
        <w:t>Tx</w:t>
      </w:r>
      <w:proofErr w:type="spellEnd"/>
      <w:r>
        <w:rPr>
          <w:sz w:val="22"/>
          <w:szCs w:val="22"/>
        </w:rPr>
        <w:t xml:space="preserve"> switched UL”, 3GPP RAN #77, Sapporo, Japan, September, 11-14, 2017</w:t>
      </w:r>
      <w:bookmarkEnd w:id="15"/>
      <w:r w:rsidR="00100B06">
        <w:rPr>
          <w:sz w:val="22"/>
          <w:szCs w:val="22"/>
        </w:rPr>
        <w:t>.</w:t>
      </w:r>
    </w:p>
    <w:p w14:paraId="067BC09F" w14:textId="7C8781ED" w:rsidR="00100B06" w:rsidRDefault="00100B06" w:rsidP="00C42D49">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6" w:name="_Ref494653034"/>
      <w:r>
        <w:rPr>
          <w:sz w:val="22"/>
          <w:szCs w:val="22"/>
        </w:rPr>
        <w:t>R1-1714089 “On UE TDM uplink transmission in NR NSA mode”, 3GPP RAN1 #90, Prague, Czech Republic, August 21-25, 2017.</w:t>
      </w:r>
      <w:bookmarkEnd w:id="16"/>
    </w:p>
    <w:p w14:paraId="14AE5A6B" w14:textId="77777777" w:rsidR="00FB524B" w:rsidRDefault="00FB524B" w:rsidP="00FB524B">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7" w:name="_Ref490127777"/>
      <w:r>
        <w:rPr>
          <w:sz w:val="22"/>
          <w:szCs w:val="22"/>
        </w:rPr>
        <w:t>3GPP RAN1 #89 Chairman Notes, “Chairman’s Notes RAN1 #89 final”, Hangzhou, China, May 15</w:t>
      </w:r>
      <w:r w:rsidRPr="0094206D">
        <w:rPr>
          <w:sz w:val="22"/>
          <w:szCs w:val="22"/>
          <w:vertAlign w:val="superscript"/>
        </w:rPr>
        <w:t>th</w:t>
      </w:r>
      <w:r>
        <w:rPr>
          <w:sz w:val="22"/>
          <w:szCs w:val="22"/>
        </w:rPr>
        <w:t>-19</w:t>
      </w:r>
      <w:r w:rsidRPr="0094206D">
        <w:rPr>
          <w:sz w:val="22"/>
          <w:szCs w:val="22"/>
          <w:vertAlign w:val="superscript"/>
        </w:rPr>
        <w:t>th</w:t>
      </w:r>
      <w:r>
        <w:rPr>
          <w:sz w:val="22"/>
          <w:szCs w:val="22"/>
        </w:rPr>
        <w:t>, 2017.</w:t>
      </w:r>
      <w:bookmarkEnd w:id="17"/>
    </w:p>
    <w:p w14:paraId="7FCF84E6" w14:textId="77777777" w:rsidR="00CD0521" w:rsidRPr="00CD0521" w:rsidRDefault="00CD0521" w:rsidP="00CD0521">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8" w:name="_Ref490130688"/>
      <w:r>
        <w:rPr>
          <w:sz w:val="22"/>
          <w:szCs w:val="22"/>
        </w:rPr>
        <w:t xml:space="preserve">3GPP RAN1 NR </w:t>
      </w:r>
      <w:proofErr w:type="spellStart"/>
      <w:r>
        <w:rPr>
          <w:sz w:val="22"/>
          <w:szCs w:val="22"/>
        </w:rPr>
        <w:t>AdHoc</w:t>
      </w:r>
      <w:proofErr w:type="spellEnd"/>
      <w:r>
        <w:rPr>
          <w:sz w:val="22"/>
          <w:szCs w:val="22"/>
        </w:rPr>
        <w:t xml:space="preserve"> #2 Chairman Notes, “Chairman’s Notes RAN1_NRAH2_final”, Qingdao, China, June 27</w:t>
      </w:r>
      <w:r w:rsidRPr="0094206D">
        <w:rPr>
          <w:sz w:val="22"/>
          <w:szCs w:val="22"/>
          <w:vertAlign w:val="superscript"/>
        </w:rPr>
        <w:t>th</w:t>
      </w:r>
      <w:r>
        <w:rPr>
          <w:sz w:val="22"/>
          <w:szCs w:val="22"/>
        </w:rPr>
        <w:t>-30</w:t>
      </w:r>
      <w:r w:rsidRPr="0094206D">
        <w:rPr>
          <w:sz w:val="22"/>
          <w:szCs w:val="22"/>
          <w:vertAlign w:val="superscript"/>
        </w:rPr>
        <w:t>th</w:t>
      </w:r>
      <w:r>
        <w:rPr>
          <w:sz w:val="22"/>
          <w:szCs w:val="22"/>
        </w:rPr>
        <w:t>, 2017</w:t>
      </w:r>
      <w:bookmarkEnd w:id="18"/>
    </w:p>
    <w:p w14:paraId="572A5713" w14:textId="77777777" w:rsidR="00CD0521" w:rsidRDefault="00CD0521" w:rsidP="00CD0521">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19" w:name="_Ref494204078"/>
      <w:r>
        <w:rPr>
          <w:sz w:val="22"/>
          <w:szCs w:val="22"/>
        </w:rPr>
        <w:t>3GPP RAN1 #90 Chairman Notes, “Chairman’s Notes RAN1 #90 final”, Prague, Czech, Aug. 21</w:t>
      </w:r>
      <w:r w:rsidRPr="0094206D">
        <w:rPr>
          <w:sz w:val="22"/>
          <w:szCs w:val="22"/>
          <w:vertAlign w:val="superscript"/>
        </w:rPr>
        <w:t>th</w:t>
      </w:r>
      <w:r>
        <w:rPr>
          <w:sz w:val="22"/>
          <w:szCs w:val="22"/>
        </w:rPr>
        <w:t>-25</w:t>
      </w:r>
      <w:r w:rsidRPr="0094206D">
        <w:rPr>
          <w:sz w:val="22"/>
          <w:szCs w:val="22"/>
          <w:vertAlign w:val="superscript"/>
        </w:rPr>
        <w:t>th</w:t>
      </w:r>
      <w:r>
        <w:rPr>
          <w:sz w:val="22"/>
          <w:szCs w:val="22"/>
        </w:rPr>
        <w:t>, 2017.</w:t>
      </w:r>
      <w:bookmarkEnd w:id="19"/>
    </w:p>
    <w:p w14:paraId="0E5B66EC" w14:textId="77777777" w:rsidR="00016C9A" w:rsidRDefault="00016C9A" w:rsidP="00963322">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20" w:name="_Ref494204855"/>
      <w:r w:rsidRPr="00016C9A">
        <w:rPr>
          <w:sz w:val="22"/>
          <w:szCs w:val="22"/>
        </w:rPr>
        <w:t>RP-172100</w:t>
      </w:r>
      <w:r>
        <w:rPr>
          <w:sz w:val="22"/>
          <w:szCs w:val="22"/>
        </w:rPr>
        <w:t>, “</w:t>
      </w:r>
      <w:r w:rsidRPr="00016C9A">
        <w:rPr>
          <w:sz w:val="22"/>
          <w:szCs w:val="22"/>
        </w:rPr>
        <w:t xml:space="preserve">LS on single </w:t>
      </w:r>
      <w:proofErr w:type="spellStart"/>
      <w:r w:rsidRPr="00016C9A">
        <w:rPr>
          <w:sz w:val="22"/>
          <w:szCs w:val="22"/>
        </w:rPr>
        <w:t>Tx</w:t>
      </w:r>
      <w:proofErr w:type="spellEnd"/>
      <w:r>
        <w:rPr>
          <w:sz w:val="22"/>
          <w:szCs w:val="22"/>
        </w:rPr>
        <w:t xml:space="preserve">”, RAN, </w:t>
      </w:r>
      <w:r w:rsidRPr="00016C9A">
        <w:rPr>
          <w:sz w:val="22"/>
          <w:szCs w:val="22"/>
        </w:rPr>
        <w:t>Sapporo</w:t>
      </w:r>
      <w:r>
        <w:rPr>
          <w:sz w:val="22"/>
          <w:szCs w:val="22"/>
        </w:rPr>
        <w:t>, Sept. 11 – Sept.14, 2017</w:t>
      </w:r>
      <w:bookmarkEnd w:id="20"/>
    </w:p>
    <w:p w14:paraId="6388183D" w14:textId="77777777" w:rsidR="00AC0FF8" w:rsidRDefault="00AC0FF8" w:rsidP="00AC0FF8">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21" w:name="_Ref494204856"/>
      <w:r w:rsidRPr="00AC0FF8">
        <w:rPr>
          <w:sz w:val="22"/>
          <w:szCs w:val="22"/>
        </w:rPr>
        <w:t>RP-172064</w:t>
      </w:r>
      <w:r>
        <w:rPr>
          <w:sz w:val="22"/>
          <w:szCs w:val="22"/>
        </w:rPr>
        <w:t>,</w:t>
      </w:r>
      <w:r w:rsidRPr="00AC0FF8">
        <w:rPr>
          <w:sz w:val="22"/>
          <w:szCs w:val="22"/>
        </w:rPr>
        <w:t xml:space="preserve"> </w:t>
      </w:r>
      <w:r>
        <w:rPr>
          <w:sz w:val="22"/>
          <w:szCs w:val="22"/>
        </w:rPr>
        <w:t>“</w:t>
      </w:r>
      <w:r w:rsidRPr="00AC0FF8">
        <w:rPr>
          <w:sz w:val="22"/>
          <w:szCs w:val="22"/>
        </w:rPr>
        <w:t xml:space="preserve">Single </w:t>
      </w:r>
      <w:proofErr w:type="spellStart"/>
      <w:r w:rsidRPr="00AC0FF8">
        <w:rPr>
          <w:sz w:val="22"/>
          <w:szCs w:val="22"/>
        </w:rPr>
        <w:t>Tx</w:t>
      </w:r>
      <w:proofErr w:type="spellEnd"/>
      <w:r w:rsidRPr="00AC0FF8">
        <w:rPr>
          <w:sz w:val="22"/>
          <w:szCs w:val="22"/>
        </w:rPr>
        <w:t xml:space="preserve"> switched UL</w:t>
      </w:r>
      <w:r>
        <w:rPr>
          <w:sz w:val="22"/>
          <w:szCs w:val="22"/>
        </w:rPr>
        <w:t xml:space="preserve">”, RAN, </w:t>
      </w:r>
      <w:r w:rsidRPr="00016C9A">
        <w:rPr>
          <w:sz w:val="22"/>
          <w:szCs w:val="22"/>
        </w:rPr>
        <w:t>Sapporo</w:t>
      </w:r>
      <w:r>
        <w:rPr>
          <w:sz w:val="22"/>
          <w:szCs w:val="22"/>
        </w:rPr>
        <w:t>, Sept. 11 – Sept.14, 2017</w:t>
      </w:r>
      <w:bookmarkEnd w:id="21"/>
    </w:p>
    <w:p w14:paraId="7716D850" w14:textId="77777777" w:rsidR="003E0F30" w:rsidRDefault="00435AF5" w:rsidP="004E34E7">
      <w:pPr>
        <w:numPr>
          <w:ilvl w:val="0"/>
          <w:numId w:val="32"/>
        </w:numPr>
        <w:overflowPunct w:val="0"/>
        <w:autoSpaceDE w:val="0"/>
        <w:autoSpaceDN w:val="0"/>
        <w:adjustRightInd w:val="0"/>
        <w:spacing w:before="100" w:beforeAutospacing="1" w:after="100" w:afterAutospacing="1"/>
        <w:ind w:left="562" w:hanging="562"/>
        <w:textAlignment w:val="baseline"/>
        <w:rPr>
          <w:sz w:val="22"/>
          <w:szCs w:val="22"/>
        </w:rPr>
      </w:pPr>
      <w:bookmarkStart w:id="22" w:name="_Ref494204857"/>
      <w:r>
        <w:rPr>
          <w:sz w:val="22"/>
          <w:szCs w:val="22"/>
        </w:rPr>
        <w:t>RP-172085</w:t>
      </w:r>
      <w:r w:rsidR="00AC0FF8">
        <w:rPr>
          <w:sz w:val="22"/>
          <w:szCs w:val="22"/>
        </w:rPr>
        <w:t>, “</w:t>
      </w:r>
      <w:proofErr w:type="spellStart"/>
      <w:r w:rsidRPr="00435AF5">
        <w:rPr>
          <w:sz w:val="22"/>
          <w:szCs w:val="22"/>
        </w:rPr>
        <w:t>S</w:t>
      </w:r>
      <w:r>
        <w:rPr>
          <w:sz w:val="22"/>
          <w:szCs w:val="22"/>
        </w:rPr>
        <w:t>ignalling</w:t>
      </w:r>
      <w:proofErr w:type="spellEnd"/>
      <w:r>
        <w:rPr>
          <w:sz w:val="22"/>
          <w:szCs w:val="22"/>
        </w:rPr>
        <w:t xml:space="preserve"> for Single/Dual UL </w:t>
      </w:r>
      <w:proofErr w:type="spellStart"/>
      <w:r>
        <w:rPr>
          <w:sz w:val="22"/>
          <w:szCs w:val="22"/>
        </w:rPr>
        <w:t>Tx</w:t>
      </w:r>
      <w:proofErr w:type="spellEnd"/>
      <w:r w:rsidR="00AC0FF8">
        <w:rPr>
          <w:sz w:val="22"/>
          <w:szCs w:val="22"/>
        </w:rPr>
        <w:t xml:space="preserve">”, RAN, </w:t>
      </w:r>
      <w:r w:rsidR="00AC0FF8" w:rsidRPr="00016C9A">
        <w:rPr>
          <w:sz w:val="22"/>
          <w:szCs w:val="22"/>
        </w:rPr>
        <w:t>Sapporo</w:t>
      </w:r>
      <w:r w:rsidR="00AC0FF8">
        <w:rPr>
          <w:sz w:val="22"/>
          <w:szCs w:val="22"/>
        </w:rPr>
        <w:t>, Sept. 11 – Sept.14, 2017</w:t>
      </w:r>
      <w:bookmarkEnd w:id="22"/>
    </w:p>
    <w:p w14:paraId="785F6AB9" w14:textId="77777777" w:rsidR="00CF1062" w:rsidRDefault="00CF1062" w:rsidP="00CF1062">
      <w:pPr>
        <w:overflowPunct w:val="0"/>
        <w:autoSpaceDE w:val="0"/>
        <w:autoSpaceDN w:val="0"/>
        <w:adjustRightInd w:val="0"/>
        <w:spacing w:before="100" w:beforeAutospacing="1" w:after="100" w:afterAutospacing="1"/>
        <w:ind w:left="562"/>
        <w:textAlignment w:val="baseline"/>
        <w:rPr>
          <w:sz w:val="22"/>
          <w:szCs w:val="22"/>
        </w:rPr>
      </w:pPr>
    </w:p>
    <w:p w14:paraId="7F8E2BAC" w14:textId="0C2E580E" w:rsidR="00CF1062" w:rsidRDefault="00CF1062">
      <w:pPr>
        <w:rPr>
          <w:sz w:val="22"/>
          <w:szCs w:val="22"/>
        </w:rPr>
      </w:pPr>
      <w:r>
        <w:rPr>
          <w:sz w:val="22"/>
          <w:szCs w:val="22"/>
        </w:rPr>
        <w:br w:type="page"/>
      </w:r>
    </w:p>
    <w:p w14:paraId="0F98EBD6" w14:textId="44012F86" w:rsidR="00CF1062" w:rsidRDefault="00CF1062" w:rsidP="00CF1062">
      <w:pPr>
        <w:pStyle w:val="Heading1"/>
      </w:pPr>
      <w:r>
        <w:lastRenderedPageBreak/>
        <w:t xml:space="preserve">Appendix: </w:t>
      </w:r>
      <w:r>
        <w:t>DL IMD issue with Dual UL</w:t>
      </w:r>
    </w:p>
    <w:p w14:paraId="789C1D06" w14:textId="77777777" w:rsidR="00CF1062" w:rsidRDefault="00CF1062" w:rsidP="00CF1062">
      <w:pPr>
        <w:jc w:val="both"/>
        <w:rPr>
          <w:sz w:val="20"/>
        </w:rPr>
      </w:pPr>
      <w:r w:rsidRPr="009A6BCF">
        <w:rPr>
          <w:sz w:val="20"/>
        </w:rPr>
        <w:t xml:space="preserve">As explained in </w:t>
      </w:r>
      <w:r w:rsidRPr="009A6BCF">
        <w:rPr>
          <w:sz w:val="20"/>
        </w:rPr>
        <w:fldChar w:fldCharType="begin"/>
      </w:r>
      <w:r w:rsidRPr="009A6BCF">
        <w:rPr>
          <w:sz w:val="20"/>
        </w:rPr>
        <w:instrText xml:space="preserve"> REF _Ref485064906 \n \h  \* MERGEFORMAT </w:instrText>
      </w:r>
      <w:r w:rsidRPr="009A6BCF">
        <w:rPr>
          <w:sz w:val="20"/>
        </w:rPr>
      </w:r>
      <w:r w:rsidRPr="009A6BCF">
        <w:rPr>
          <w:sz w:val="20"/>
        </w:rPr>
        <w:fldChar w:fldCharType="separate"/>
      </w:r>
      <w:r>
        <w:rPr>
          <w:sz w:val="20"/>
        </w:rPr>
        <w:t>[4]</w:t>
      </w:r>
      <w:r w:rsidRPr="009A6BCF">
        <w:rPr>
          <w:sz w:val="20"/>
        </w:rPr>
        <w:fldChar w:fldCharType="end"/>
      </w:r>
      <w:r w:rsidRPr="009A6BCF">
        <w:rPr>
          <w:sz w:val="20"/>
        </w:rPr>
        <w:fldChar w:fldCharType="begin"/>
      </w:r>
      <w:r w:rsidRPr="009A6BCF">
        <w:rPr>
          <w:sz w:val="20"/>
        </w:rPr>
        <w:instrText xml:space="preserve"> REF _Ref485064908 \n \h  \* MERGEFORMAT </w:instrText>
      </w:r>
      <w:r w:rsidRPr="009A6BCF">
        <w:rPr>
          <w:sz w:val="20"/>
        </w:rPr>
      </w:r>
      <w:r w:rsidRPr="009A6BCF">
        <w:rPr>
          <w:sz w:val="20"/>
        </w:rPr>
        <w:fldChar w:fldCharType="separate"/>
      </w:r>
      <w:r>
        <w:rPr>
          <w:sz w:val="20"/>
        </w:rPr>
        <w:t>[5]</w:t>
      </w:r>
      <w:r w:rsidRPr="009A6BCF">
        <w:rPr>
          <w:sz w:val="20"/>
        </w:rPr>
        <w:fldChar w:fldCharType="end"/>
      </w:r>
      <w:r w:rsidRPr="009A6BCF">
        <w:rPr>
          <w:sz w:val="20"/>
        </w:rPr>
        <w:fldChar w:fldCharType="begin"/>
      </w:r>
      <w:r w:rsidRPr="009A6BCF">
        <w:rPr>
          <w:sz w:val="20"/>
        </w:rPr>
        <w:instrText xml:space="preserve"> REF _Ref481669477 \n \h  \* MERGEFORMAT </w:instrText>
      </w:r>
      <w:r w:rsidRPr="009A6BCF">
        <w:rPr>
          <w:sz w:val="20"/>
        </w:rPr>
      </w:r>
      <w:r w:rsidRPr="009A6BCF">
        <w:rPr>
          <w:sz w:val="20"/>
        </w:rPr>
        <w:fldChar w:fldCharType="separate"/>
      </w:r>
      <w:r>
        <w:rPr>
          <w:sz w:val="20"/>
        </w:rPr>
        <w:t>[6]</w:t>
      </w:r>
      <w:r w:rsidRPr="009A6BCF">
        <w:rPr>
          <w:sz w:val="20"/>
        </w:rPr>
        <w:fldChar w:fldCharType="end"/>
      </w:r>
      <w:r w:rsidRPr="009A6BCF">
        <w:rPr>
          <w:sz w:val="20"/>
        </w:rPr>
        <w:t xml:space="preserve">, depending on the band combinations, sending two concurrent uplinks in two different bands can produce undesirable inter-modulations that degrades UE’s RX sensitivity. This creates challenges in UE RF implementations. </w:t>
      </w:r>
      <w:r>
        <w:rPr>
          <w:sz w:val="20"/>
        </w:rPr>
        <w:t xml:space="preserve">To quantitatively understand the severity of the impact on UE Rx sensitivity, we use the following table which summarizes the </w:t>
      </w:r>
      <w:r w:rsidRPr="004D0121">
        <w:rPr>
          <w:sz w:val="20"/>
        </w:rPr>
        <w:t xml:space="preserve">Table 7.3.1A-0f: 2DL/2UL </w:t>
      </w:r>
      <w:proofErr w:type="spellStart"/>
      <w:r w:rsidRPr="004D0121">
        <w:rPr>
          <w:sz w:val="20"/>
        </w:rPr>
        <w:t>interband</w:t>
      </w:r>
      <w:proofErr w:type="spellEnd"/>
      <w:r w:rsidRPr="004D0121">
        <w:rPr>
          <w:sz w:val="20"/>
        </w:rPr>
        <w:t xml:space="preserve"> Reference sensitivity QPSK PREFSENS and uplink/downlink configurations</w:t>
      </w:r>
      <w:r>
        <w:rPr>
          <w:sz w:val="20"/>
        </w:rPr>
        <w:t xml:space="preserve"> in 36.101 </w:t>
      </w:r>
    </w:p>
    <w:p w14:paraId="1812566F" w14:textId="77777777" w:rsidR="00CF1062" w:rsidRDefault="00CF1062" w:rsidP="00CF1062">
      <w:pPr>
        <w:jc w:val="both"/>
        <w:rPr>
          <w:sz w:val="20"/>
        </w:rPr>
      </w:pPr>
    </w:p>
    <w:tbl>
      <w:tblPr>
        <w:tblW w:w="9627" w:type="dxa"/>
        <w:tblInd w:w="113" w:type="dxa"/>
        <w:tblLook w:val="04A0" w:firstRow="1" w:lastRow="0" w:firstColumn="1" w:lastColumn="0" w:noHBand="0" w:noVBand="1"/>
      </w:tblPr>
      <w:tblGrid>
        <w:gridCol w:w="561"/>
        <w:gridCol w:w="379"/>
        <w:gridCol w:w="500"/>
        <w:gridCol w:w="500"/>
        <w:gridCol w:w="500"/>
        <w:gridCol w:w="500"/>
        <w:gridCol w:w="379"/>
        <w:gridCol w:w="500"/>
        <w:gridCol w:w="500"/>
        <w:gridCol w:w="298"/>
        <w:gridCol w:w="500"/>
        <w:gridCol w:w="298"/>
        <w:gridCol w:w="419"/>
        <w:gridCol w:w="298"/>
        <w:gridCol w:w="500"/>
        <w:gridCol w:w="298"/>
        <w:gridCol w:w="419"/>
        <w:gridCol w:w="419"/>
        <w:gridCol w:w="298"/>
        <w:gridCol w:w="500"/>
        <w:gridCol w:w="379"/>
        <w:gridCol w:w="500"/>
        <w:gridCol w:w="762"/>
      </w:tblGrid>
      <w:tr w:rsidR="00CF1062" w14:paraId="66D2264F" w14:textId="77777777" w:rsidTr="004F4EE9">
        <w:trPr>
          <w:trHeight w:val="579"/>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A9F7E" w14:textId="77777777" w:rsidR="00CF1062" w:rsidRDefault="00CF1062" w:rsidP="004F4EE9">
            <w:pPr>
              <w:rPr>
                <w:rFonts w:ascii="Calibri" w:eastAsia="Times New Roman" w:hAnsi="Calibri"/>
                <w:color w:val="000000"/>
                <w:sz w:val="16"/>
                <w:szCs w:val="16"/>
              </w:rPr>
            </w:pPr>
            <w:r>
              <w:rPr>
                <w:rFonts w:ascii="Calibri" w:eastAsia="Times New Roman" w:hAnsi="Calibri"/>
                <w:color w:val="000000"/>
                <w:sz w:val="16"/>
                <w:szCs w:val="16"/>
              </w:rPr>
              <w:t> </w:t>
            </w:r>
          </w:p>
        </w:tc>
        <w:tc>
          <w:tcPr>
            <w:tcW w:w="8369" w:type="dxa"/>
            <w:gridSpan w:val="21"/>
            <w:tcBorders>
              <w:top w:val="single" w:sz="4" w:space="0" w:color="auto"/>
              <w:left w:val="nil"/>
              <w:bottom w:val="single" w:sz="4" w:space="0" w:color="auto"/>
              <w:right w:val="single" w:sz="4" w:space="0" w:color="auto"/>
            </w:tcBorders>
            <w:shd w:val="clear" w:color="auto" w:fill="auto"/>
            <w:noWrap/>
            <w:vAlign w:val="center"/>
            <w:hideMark/>
          </w:tcPr>
          <w:p w14:paraId="6B155CF8" w14:textId="77777777" w:rsidR="00CF1062" w:rsidRDefault="00CF1062" w:rsidP="004F4EE9">
            <w:pPr>
              <w:jc w:val="center"/>
              <w:rPr>
                <w:rFonts w:ascii="Calibri" w:eastAsia="Times New Roman" w:hAnsi="Calibri"/>
                <w:b/>
                <w:bCs/>
                <w:color w:val="000000"/>
                <w:sz w:val="16"/>
                <w:szCs w:val="16"/>
              </w:rPr>
            </w:pPr>
            <w:r>
              <w:rPr>
                <w:rFonts w:ascii="Calibri" w:eastAsia="Times New Roman" w:hAnsi="Calibri"/>
                <w:b/>
                <w:bCs/>
                <w:color w:val="000000"/>
                <w:sz w:val="16"/>
                <w:szCs w:val="16"/>
              </w:rPr>
              <w:t>MSD Values</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2D9C78C7" w14:textId="77777777" w:rsidR="00CF1062" w:rsidRDefault="00CF1062" w:rsidP="004F4EE9">
            <w:pPr>
              <w:jc w:val="center"/>
              <w:rPr>
                <w:rFonts w:ascii="Calibri" w:eastAsia="Times New Roman" w:hAnsi="Calibri"/>
                <w:b/>
                <w:bCs/>
                <w:color w:val="000000"/>
                <w:sz w:val="16"/>
                <w:szCs w:val="16"/>
              </w:rPr>
            </w:pPr>
            <w:r>
              <w:rPr>
                <w:rFonts w:ascii="Calibri" w:eastAsia="Times New Roman" w:hAnsi="Calibri"/>
                <w:b/>
                <w:bCs/>
                <w:color w:val="000000"/>
                <w:sz w:val="16"/>
                <w:szCs w:val="16"/>
              </w:rPr>
              <w:t>Average MSD</w:t>
            </w:r>
            <w:r>
              <w:rPr>
                <w:rFonts w:ascii="Calibri" w:eastAsia="Times New Roman" w:hAnsi="Calibri"/>
                <w:b/>
                <w:bCs/>
                <w:color w:val="000000"/>
                <w:sz w:val="16"/>
                <w:szCs w:val="16"/>
              </w:rPr>
              <w:br/>
              <w:t>(dB)</w:t>
            </w:r>
          </w:p>
        </w:tc>
      </w:tr>
      <w:tr w:rsidR="00CF1062" w14:paraId="27C13590" w14:textId="77777777" w:rsidTr="004F4EE9">
        <w:trPr>
          <w:trHeight w:val="336"/>
        </w:trPr>
        <w:tc>
          <w:tcPr>
            <w:tcW w:w="561" w:type="dxa"/>
            <w:tcBorders>
              <w:top w:val="nil"/>
              <w:left w:val="single" w:sz="4" w:space="0" w:color="auto"/>
              <w:bottom w:val="single" w:sz="4" w:space="0" w:color="auto"/>
              <w:right w:val="single" w:sz="4" w:space="0" w:color="auto"/>
            </w:tcBorders>
            <w:shd w:val="clear" w:color="auto" w:fill="auto"/>
            <w:vAlign w:val="bottom"/>
            <w:hideMark/>
          </w:tcPr>
          <w:p w14:paraId="2714917F" w14:textId="77777777" w:rsidR="00CF1062" w:rsidRDefault="00CF1062" w:rsidP="004F4EE9">
            <w:pPr>
              <w:jc w:val="center"/>
              <w:rPr>
                <w:rFonts w:ascii="Calibri" w:eastAsia="Times New Roman" w:hAnsi="Calibri"/>
                <w:b/>
                <w:bCs/>
                <w:color w:val="000000"/>
                <w:sz w:val="16"/>
                <w:szCs w:val="16"/>
              </w:rPr>
            </w:pPr>
            <w:r>
              <w:rPr>
                <w:rFonts w:ascii="Calibri" w:eastAsia="Times New Roman" w:hAnsi="Calibri"/>
                <w:b/>
                <w:bCs/>
                <w:color w:val="000000"/>
                <w:sz w:val="16"/>
                <w:szCs w:val="16"/>
              </w:rPr>
              <w:t>IM2</w:t>
            </w:r>
          </w:p>
        </w:tc>
        <w:tc>
          <w:tcPr>
            <w:tcW w:w="361" w:type="dxa"/>
            <w:tcBorders>
              <w:top w:val="nil"/>
              <w:left w:val="nil"/>
              <w:bottom w:val="single" w:sz="4" w:space="0" w:color="auto"/>
              <w:right w:val="single" w:sz="4" w:space="0" w:color="auto"/>
            </w:tcBorders>
            <w:shd w:val="clear" w:color="auto" w:fill="auto"/>
            <w:vAlign w:val="bottom"/>
            <w:hideMark/>
          </w:tcPr>
          <w:p w14:paraId="5B1E8515"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24</w:t>
            </w:r>
          </w:p>
        </w:tc>
        <w:tc>
          <w:tcPr>
            <w:tcW w:w="467" w:type="dxa"/>
            <w:tcBorders>
              <w:top w:val="nil"/>
              <w:left w:val="nil"/>
              <w:bottom w:val="single" w:sz="4" w:space="0" w:color="auto"/>
              <w:right w:val="single" w:sz="4" w:space="0" w:color="auto"/>
            </w:tcBorders>
            <w:shd w:val="clear" w:color="auto" w:fill="auto"/>
            <w:vAlign w:val="bottom"/>
            <w:hideMark/>
          </w:tcPr>
          <w:p w14:paraId="3CE46F90"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26</w:t>
            </w:r>
          </w:p>
        </w:tc>
        <w:tc>
          <w:tcPr>
            <w:tcW w:w="467" w:type="dxa"/>
            <w:tcBorders>
              <w:top w:val="nil"/>
              <w:left w:val="nil"/>
              <w:bottom w:val="single" w:sz="4" w:space="0" w:color="auto"/>
              <w:right w:val="single" w:sz="4" w:space="0" w:color="auto"/>
            </w:tcBorders>
            <w:shd w:val="clear" w:color="auto" w:fill="auto"/>
            <w:vAlign w:val="bottom"/>
            <w:hideMark/>
          </w:tcPr>
          <w:p w14:paraId="2298C799"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29.8</w:t>
            </w:r>
          </w:p>
        </w:tc>
        <w:tc>
          <w:tcPr>
            <w:tcW w:w="467" w:type="dxa"/>
            <w:tcBorders>
              <w:top w:val="nil"/>
              <w:left w:val="nil"/>
              <w:bottom w:val="single" w:sz="4" w:space="0" w:color="auto"/>
              <w:right w:val="single" w:sz="4" w:space="0" w:color="auto"/>
            </w:tcBorders>
            <w:shd w:val="clear" w:color="auto" w:fill="auto"/>
            <w:vAlign w:val="bottom"/>
            <w:hideMark/>
          </w:tcPr>
          <w:p w14:paraId="5A2DFBB7"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32.5</w:t>
            </w:r>
          </w:p>
        </w:tc>
        <w:tc>
          <w:tcPr>
            <w:tcW w:w="466" w:type="dxa"/>
            <w:tcBorders>
              <w:top w:val="nil"/>
              <w:left w:val="nil"/>
              <w:bottom w:val="single" w:sz="4" w:space="0" w:color="auto"/>
              <w:right w:val="single" w:sz="4" w:space="0" w:color="auto"/>
            </w:tcBorders>
            <w:shd w:val="clear" w:color="auto" w:fill="auto"/>
            <w:vAlign w:val="bottom"/>
            <w:hideMark/>
          </w:tcPr>
          <w:p w14:paraId="311E9218"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26</w:t>
            </w:r>
          </w:p>
        </w:tc>
        <w:tc>
          <w:tcPr>
            <w:tcW w:w="360" w:type="dxa"/>
            <w:tcBorders>
              <w:top w:val="nil"/>
              <w:left w:val="nil"/>
              <w:bottom w:val="single" w:sz="4" w:space="0" w:color="auto"/>
              <w:right w:val="single" w:sz="4" w:space="0" w:color="auto"/>
            </w:tcBorders>
            <w:shd w:val="clear" w:color="auto" w:fill="auto"/>
            <w:vAlign w:val="bottom"/>
            <w:hideMark/>
          </w:tcPr>
          <w:p w14:paraId="7CD76ACC"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30</w:t>
            </w:r>
          </w:p>
        </w:tc>
        <w:tc>
          <w:tcPr>
            <w:tcW w:w="466" w:type="dxa"/>
            <w:tcBorders>
              <w:top w:val="nil"/>
              <w:left w:val="nil"/>
              <w:bottom w:val="single" w:sz="4" w:space="0" w:color="auto"/>
              <w:right w:val="single" w:sz="4" w:space="0" w:color="auto"/>
            </w:tcBorders>
            <w:shd w:val="clear" w:color="auto" w:fill="auto"/>
            <w:vAlign w:val="bottom"/>
            <w:hideMark/>
          </w:tcPr>
          <w:p w14:paraId="6F290A45"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147BE424"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6FEC0248"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4C206FC1"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136C12A9"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3414A52D"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171189A4"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16DA0756"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45582EE8"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630C4AC1"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699CAB19"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3A5CC7E2"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146CEEDD"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360" w:type="dxa"/>
            <w:tcBorders>
              <w:top w:val="nil"/>
              <w:left w:val="nil"/>
              <w:bottom w:val="single" w:sz="4" w:space="0" w:color="auto"/>
              <w:right w:val="single" w:sz="4" w:space="0" w:color="auto"/>
            </w:tcBorders>
            <w:shd w:val="clear" w:color="auto" w:fill="auto"/>
            <w:vAlign w:val="bottom"/>
            <w:hideMark/>
          </w:tcPr>
          <w:p w14:paraId="32144BE2"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4FAFEE66"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697" w:type="dxa"/>
            <w:tcBorders>
              <w:top w:val="nil"/>
              <w:left w:val="nil"/>
              <w:bottom w:val="single" w:sz="4" w:space="0" w:color="auto"/>
              <w:right w:val="single" w:sz="4" w:space="0" w:color="auto"/>
            </w:tcBorders>
            <w:shd w:val="clear" w:color="auto" w:fill="auto"/>
            <w:vAlign w:val="bottom"/>
            <w:hideMark/>
          </w:tcPr>
          <w:p w14:paraId="2B599BF8"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28.05</w:t>
            </w:r>
          </w:p>
        </w:tc>
      </w:tr>
      <w:tr w:rsidR="00CF1062" w14:paraId="1EA1AA7F" w14:textId="77777777" w:rsidTr="004F4EE9">
        <w:trPr>
          <w:trHeight w:val="320"/>
        </w:trPr>
        <w:tc>
          <w:tcPr>
            <w:tcW w:w="561" w:type="dxa"/>
            <w:tcBorders>
              <w:top w:val="nil"/>
              <w:left w:val="single" w:sz="4" w:space="0" w:color="auto"/>
              <w:bottom w:val="single" w:sz="4" w:space="0" w:color="auto"/>
              <w:right w:val="single" w:sz="4" w:space="0" w:color="auto"/>
            </w:tcBorders>
            <w:shd w:val="clear" w:color="auto" w:fill="auto"/>
            <w:vAlign w:val="bottom"/>
            <w:hideMark/>
          </w:tcPr>
          <w:p w14:paraId="3A309F31" w14:textId="77777777" w:rsidR="00CF1062" w:rsidRDefault="00CF1062" w:rsidP="004F4EE9">
            <w:pPr>
              <w:jc w:val="center"/>
              <w:rPr>
                <w:rFonts w:ascii="Calibri" w:eastAsia="Times New Roman" w:hAnsi="Calibri"/>
                <w:b/>
                <w:bCs/>
                <w:color w:val="000000"/>
                <w:sz w:val="16"/>
                <w:szCs w:val="16"/>
              </w:rPr>
            </w:pPr>
            <w:r>
              <w:rPr>
                <w:rFonts w:ascii="Calibri" w:eastAsia="Times New Roman" w:hAnsi="Calibri"/>
                <w:b/>
                <w:bCs/>
                <w:color w:val="000000"/>
                <w:sz w:val="16"/>
                <w:szCs w:val="16"/>
              </w:rPr>
              <w:t>IM3</w:t>
            </w:r>
          </w:p>
        </w:tc>
        <w:tc>
          <w:tcPr>
            <w:tcW w:w="361" w:type="dxa"/>
            <w:tcBorders>
              <w:top w:val="nil"/>
              <w:left w:val="nil"/>
              <w:bottom w:val="single" w:sz="4" w:space="0" w:color="auto"/>
              <w:right w:val="single" w:sz="4" w:space="0" w:color="auto"/>
            </w:tcBorders>
            <w:shd w:val="clear" w:color="auto" w:fill="auto"/>
            <w:vAlign w:val="bottom"/>
            <w:hideMark/>
          </w:tcPr>
          <w:p w14:paraId="7657F862"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23</w:t>
            </w:r>
          </w:p>
        </w:tc>
        <w:tc>
          <w:tcPr>
            <w:tcW w:w="467" w:type="dxa"/>
            <w:tcBorders>
              <w:top w:val="nil"/>
              <w:left w:val="nil"/>
              <w:bottom w:val="single" w:sz="4" w:space="0" w:color="auto"/>
              <w:right w:val="single" w:sz="4" w:space="0" w:color="auto"/>
            </w:tcBorders>
            <w:shd w:val="clear" w:color="auto" w:fill="auto"/>
            <w:vAlign w:val="bottom"/>
            <w:hideMark/>
          </w:tcPr>
          <w:p w14:paraId="27E0C2C9"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25.7</w:t>
            </w:r>
          </w:p>
        </w:tc>
        <w:tc>
          <w:tcPr>
            <w:tcW w:w="467" w:type="dxa"/>
            <w:tcBorders>
              <w:top w:val="nil"/>
              <w:left w:val="nil"/>
              <w:bottom w:val="single" w:sz="4" w:space="0" w:color="auto"/>
              <w:right w:val="single" w:sz="4" w:space="0" w:color="auto"/>
            </w:tcBorders>
            <w:shd w:val="clear" w:color="auto" w:fill="auto"/>
            <w:vAlign w:val="bottom"/>
            <w:hideMark/>
          </w:tcPr>
          <w:p w14:paraId="749D642B"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5</w:t>
            </w:r>
          </w:p>
        </w:tc>
        <w:tc>
          <w:tcPr>
            <w:tcW w:w="467" w:type="dxa"/>
            <w:tcBorders>
              <w:top w:val="nil"/>
              <w:left w:val="nil"/>
              <w:bottom w:val="single" w:sz="4" w:space="0" w:color="auto"/>
              <w:right w:val="single" w:sz="4" w:space="0" w:color="auto"/>
            </w:tcBorders>
            <w:shd w:val="clear" w:color="auto" w:fill="auto"/>
            <w:vAlign w:val="bottom"/>
            <w:hideMark/>
          </w:tcPr>
          <w:p w14:paraId="5518CCF1"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7.7</w:t>
            </w:r>
          </w:p>
        </w:tc>
        <w:tc>
          <w:tcPr>
            <w:tcW w:w="466" w:type="dxa"/>
            <w:tcBorders>
              <w:top w:val="nil"/>
              <w:left w:val="nil"/>
              <w:bottom w:val="single" w:sz="4" w:space="0" w:color="auto"/>
              <w:right w:val="single" w:sz="4" w:space="0" w:color="auto"/>
            </w:tcBorders>
            <w:shd w:val="clear" w:color="auto" w:fill="auto"/>
            <w:vAlign w:val="bottom"/>
            <w:hideMark/>
          </w:tcPr>
          <w:p w14:paraId="337B1530"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12</w:t>
            </w:r>
          </w:p>
        </w:tc>
        <w:tc>
          <w:tcPr>
            <w:tcW w:w="360" w:type="dxa"/>
            <w:tcBorders>
              <w:top w:val="nil"/>
              <w:left w:val="nil"/>
              <w:bottom w:val="single" w:sz="4" w:space="0" w:color="auto"/>
              <w:right w:val="single" w:sz="4" w:space="0" w:color="auto"/>
            </w:tcBorders>
            <w:shd w:val="clear" w:color="auto" w:fill="auto"/>
            <w:vAlign w:val="bottom"/>
            <w:hideMark/>
          </w:tcPr>
          <w:p w14:paraId="13E8B1E6"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12</w:t>
            </w:r>
          </w:p>
        </w:tc>
        <w:tc>
          <w:tcPr>
            <w:tcW w:w="466" w:type="dxa"/>
            <w:tcBorders>
              <w:top w:val="nil"/>
              <w:left w:val="nil"/>
              <w:bottom w:val="single" w:sz="4" w:space="0" w:color="auto"/>
              <w:right w:val="single" w:sz="4" w:space="0" w:color="auto"/>
            </w:tcBorders>
            <w:shd w:val="clear" w:color="auto" w:fill="auto"/>
            <w:vAlign w:val="bottom"/>
            <w:hideMark/>
          </w:tcPr>
          <w:p w14:paraId="60FD87C4"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14.7</w:t>
            </w:r>
          </w:p>
        </w:tc>
        <w:tc>
          <w:tcPr>
            <w:tcW w:w="466" w:type="dxa"/>
            <w:tcBorders>
              <w:top w:val="nil"/>
              <w:left w:val="nil"/>
              <w:bottom w:val="single" w:sz="4" w:space="0" w:color="auto"/>
              <w:right w:val="single" w:sz="4" w:space="0" w:color="auto"/>
            </w:tcBorders>
            <w:shd w:val="clear" w:color="auto" w:fill="auto"/>
            <w:vAlign w:val="bottom"/>
            <w:hideMark/>
          </w:tcPr>
          <w:p w14:paraId="794E416B"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12.1</w:t>
            </w:r>
          </w:p>
        </w:tc>
        <w:tc>
          <w:tcPr>
            <w:tcW w:w="288" w:type="dxa"/>
            <w:tcBorders>
              <w:top w:val="nil"/>
              <w:left w:val="nil"/>
              <w:bottom w:val="single" w:sz="4" w:space="0" w:color="auto"/>
              <w:right w:val="single" w:sz="4" w:space="0" w:color="auto"/>
            </w:tcBorders>
            <w:shd w:val="clear" w:color="auto" w:fill="auto"/>
            <w:vAlign w:val="bottom"/>
            <w:hideMark/>
          </w:tcPr>
          <w:p w14:paraId="4A309032"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44189E6A"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7F821096"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3BC340A8"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4C9431BD"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6C450F27"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30632FCC"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682D7CD9"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341B8592"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1EE00BBB"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142EC8AC"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360" w:type="dxa"/>
            <w:tcBorders>
              <w:top w:val="nil"/>
              <w:left w:val="nil"/>
              <w:bottom w:val="single" w:sz="4" w:space="0" w:color="auto"/>
              <w:right w:val="single" w:sz="4" w:space="0" w:color="auto"/>
            </w:tcBorders>
            <w:shd w:val="clear" w:color="auto" w:fill="auto"/>
            <w:vAlign w:val="bottom"/>
            <w:hideMark/>
          </w:tcPr>
          <w:p w14:paraId="61D529C0"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49AF9E97"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697" w:type="dxa"/>
            <w:tcBorders>
              <w:top w:val="nil"/>
              <w:left w:val="nil"/>
              <w:bottom w:val="single" w:sz="4" w:space="0" w:color="auto"/>
              <w:right w:val="single" w:sz="4" w:space="0" w:color="auto"/>
            </w:tcBorders>
            <w:shd w:val="clear" w:color="auto" w:fill="auto"/>
            <w:vAlign w:val="bottom"/>
            <w:hideMark/>
          </w:tcPr>
          <w:p w14:paraId="7163D9A6"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14.03</w:t>
            </w:r>
          </w:p>
        </w:tc>
      </w:tr>
      <w:tr w:rsidR="00CF1062" w14:paraId="212C5CF4" w14:textId="77777777" w:rsidTr="004F4EE9">
        <w:trPr>
          <w:trHeight w:val="320"/>
        </w:trPr>
        <w:tc>
          <w:tcPr>
            <w:tcW w:w="561" w:type="dxa"/>
            <w:tcBorders>
              <w:top w:val="nil"/>
              <w:left w:val="single" w:sz="4" w:space="0" w:color="auto"/>
              <w:bottom w:val="single" w:sz="4" w:space="0" w:color="auto"/>
              <w:right w:val="single" w:sz="4" w:space="0" w:color="auto"/>
            </w:tcBorders>
            <w:shd w:val="clear" w:color="auto" w:fill="auto"/>
            <w:vAlign w:val="bottom"/>
            <w:hideMark/>
          </w:tcPr>
          <w:p w14:paraId="3B1680E9" w14:textId="77777777" w:rsidR="00CF1062" w:rsidRDefault="00CF1062" w:rsidP="004F4EE9">
            <w:pPr>
              <w:jc w:val="center"/>
              <w:rPr>
                <w:rFonts w:ascii="Calibri" w:eastAsia="Times New Roman" w:hAnsi="Calibri"/>
                <w:b/>
                <w:bCs/>
                <w:color w:val="000000"/>
                <w:sz w:val="16"/>
                <w:szCs w:val="16"/>
              </w:rPr>
            </w:pPr>
            <w:r>
              <w:rPr>
                <w:rFonts w:ascii="Calibri" w:eastAsia="Times New Roman" w:hAnsi="Calibri"/>
                <w:b/>
                <w:bCs/>
                <w:color w:val="000000"/>
                <w:sz w:val="16"/>
                <w:szCs w:val="16"/>
              </w:rPr>
              <w:t>IM4</w:t>
            </w:r>
          </w:p>
        </w:tc>
        <w:tc>
          <w:tcPr>
            <w:tcW w:w="361" w:type="dxa"/>
            <w:tcBorders>
              <w:top w:val="nil"/>
              <w:left w:val="nil"/>
              <w:bottom w:val="single" w:sz="4" w:space="0" w:color="auto"/>
              <w:right w:val="single" w:sz="4" w:space="0" w:color="auto"/>
            </w:tcBorders>
            <w:shd w:val="clear" w:color="auto" w:fill="auto"/>
            <w:vAlign w:val="bottom"/>
            <w:hideMark/>
          </w:tcPr>
          <w:p w14:paraId="695C3C04"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6</w:t>
            </w:r>
          </w:p>
        </w:tc>
        <w:tc>
          <w:tcPr>
            <w:tcW w:w="467" w:type="dxa"/>
            <w:tcBorders>
              <w:top w:val="nil"/>
              <w:left w:val="nil"/>
              <w:bottom w:val="single" w:sz="4" w:space="0" w:color="auto"/>
              <w:right w:val="single" w:sz="4" w:space="0" w:color="auto"/>
            </w:tcBorders>
            <w:shd w:val="clear" w:color="auto" w:fill="auto"/>
            <w:vAlign w:val="bottom"/>
            <w:hideMark/>
          </w:tcPr>
          <w:p w14:paraId="12774956"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8.7</w:t>
            </w:r>
          </w:p>
        </w:tc>
        <w:tc>
          <w:tcPr>
            <w:tcW w:w="467" w:type="dxa"/>
            <w:tcBorders>
              <w:top w:val="nil"/>
              <w:left w:val="nil"/>
              <w:bottom w:val="single" w:sz="4" w:space="0" w:color="auto"/>
              <w:right w:val="single" w:sz="4" w:space="0" w:color="auto"/>
            </w:tcBorders>
            <w:shd w:val="clear" w:color="auto" w:fill="auto"/>
            <w:vAlign w:val="bottom"/>
            <w:hideMark/>
          </w:tcPr>
          <w:p w14:paraId="05452098"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4</w:t>
            </w:r>
          </w:p>
        </w:tc>
        <w:tc>
          <w:tcPr>
            <w:tcW w:w="467" w:type="dxa"/>
            <w:tcBorders>
              <w:top w:val="nil"/>
              <w:left w:val="nil"/>
              <w:bottom w:val="single" w:sz="4" w:space="0" w:color="auto"/>
              <w:right w:val="single" w:sz="4" w:space="0" w:color="auto"/>
            </w:tcBorders>
            <w:shd w:val="clear" w:color="auto" w:fill="auto"/>
            <w:vAlign w:val="bottom"/>
            <w:hideMark/>
          </w:tcPr>
          <w:p w14:paraId="48000B1C"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13</w:t>
            </w:r>
          </w:p>
        </w:tc>
        <w:tc>
          <w:tcPr>
            <w:tcW w:w="466" w:type="dxa"/>
            <w:tcBorders>
              <w:top w:val="nil"/>
              <w:left w:val="nil"/>
              <w:bottom w:val="single" w:sz="4" w:space="0" w:color="auto"/>
              <w:right w:val="single" w:sz="4" w:space="0" w:color="auto"/>
            </w:tcBorders>
            <w:shd w:val="clear" w:color="auto" w:fill="auto"/>
            <w:vAlign w:val="bottom"/>
            <w:hideMark/>
          </w:tcPr>
          <w:p w14:paraId="44B70B3C"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15.7</w:t>
            </w:r>
          </w:p>
        </w:tc>
        <w:tc>
          <w:tcPr>
            <w:tcW w:w="360" w:type="dxa"/>
            <w:tcBorders>
              <w:top w:val="nil"/>
              <w:left w:val="nil"/>
              <w:bottom w:val="single" w:sz="4" w:space="0" w:color="auto"/>
              <w:right w:val="single" w:sz="4" w:space="0" w:color="auto"/>
            </w:tcBorders>
            <w:shd w:val="clear" w:color="auto" w:fill="auto"/>
            <w:vAlign w:val="bottom"/>
            <w:hideMark/>
          </w:tcPr>
          <w:p w14:paraId="3D36E360"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8</w:t>
            </w:r>
          </w:p>
        </w:tc>
        <w:tc>
          <w:tcPr>
            <w:tcW w:w="466" w:type="dxa"/>
            <w:tcBorders>
              <w:top w:val="nil"/>
              <w:left w:val="nil"/>
              <w:bottom w:val="single" w:sz="4" w:space="0" w:color="auto"/>
              <w:right w:val="single" w:sz="4" w:space="0" w:color="auto"/>
            </w:tcBorders>
            <w:shd w:val="clear" w:color="auto" w:fill="auto"/>
            <w:vAlign w:val="bottom"/>
            <w:hideMark/>
          </w:tcPr>
          <w:p w14:paraId="7DBDA6E6"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4</w:t>
            </w:r>
          </w:p>
        </w:tc>
        <w:tc>
          <w:tcPr>
            <w:tcW w:w="466" w:type="dxa"/>
            <w:tcBorders>
              <w:top w:val="nil"/>
              <w:left w:val="nil"/>
              <w:bottom w:val="single" w:sz="4" w:space="0" w:color="auto"/>
              <w:right w:val="single" w:sz="4" w:space="0" w:color="auto"/>
            </w:tcBorders>
            <w:shd w:val="clear" w:color="auto" w:fill="auto"/>
            <w:vAlign w:val="bottom"/>
            <w:hideMark/>
          </w:tcPr>
          <w:p w14:paraId="6FB8BB44"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6.7</w:t>
            </w:r>
          </w:p>
        </w:tc>
        <w:tc>
          <w:tcPr>
            <w:tcW w:w="288" w:type="dxa"/>
            <w:tcBorders>
              <w:top w:val="nil"/>
              <w:left w:val="nil"/>
              <w:bottom w:val="single" w:sz="4" w:space="0" w:color="auto"/>
              <w:right w:val="single" w:sz="4" w:space="0" w:color="auto"/>
            </w:tcBorders>
            <w:shd w:val="clear" w:color="auto" w:fill="auto"/>
            <w:vAlign w:val="bottom"/>
            <w:hideMark/>
          </w:tcPr>
          <w:p w14:paraId="1CF50755"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9</w:t>
            </w:r>
          </w:p>
        </w:tc>
        <w:tc>
          <w:tcPr>
            <w:tcW w:w="466" w:type="dxa"/>
            <w:tcBorders>
              <w:top w:val="nil"/>
              <w:left w:val="nil"/>
              <w:bottom w:val="single" w:sz="4" w:space="0" w:color="auto"/>
              <w:right w:val="single" w:sz="4" w:space="0" w:color="auto"/>
            </w:tcBorders>
            <w:shd w:val="clear" w:color="auto" w:fill="auto"/>
            <w:vAlign w:val="bottom"/>
            <w:hideMark/>
          </w:tcPr>
          <w:p w14:paraId="7F270372"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11.7</w:t>
            </w:r>
          </w:p>
        </w:tc>
        <w:tc>
          <w:tcPr>
            <w:tcW w:w="288" w:type="dxa"/>
            <w:tcBorders>
              <w:top w:val="nil"/>
              <w:left w:val="nil"/>
              <w:bottom w:val="single" w:sz="4" w:space="0" w:color="auto"/>
              <w:right w:val="single" w:sz="4" w:space="0" w:color="auto"/>
            </w:tcBorders>
            <w:shd w:val="clear" w:color="auto" w:fill="auto"/>
            <w:vAlign w:val="bottom"/>
            <w:hideMark/>
          </w:tcPr>
          <w:p w14:paraId="16BC15C4"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4</w:t>
            </w:r>
          </w:p>
        </w:tc>
        <w:tc>
          <w:tcPr>
            <w:tcW w:w="395" w:type="dxa"/>
            <w:tcBorders>
              <w:top w:val="nil"/>
              <w:left w:val="nil"/>
              <w:bottom w:val="single" w:sz="4" w:space="0" w:color="auto"/>
              <w:right w:val="single" w:sz="4" w:space="0" w:color="auto"/>
            </w:tcBorders>
            <w:shd w:val="clear" w:color="auto" w:fill="auto"/>
            <w:vAlign w:val="bottom"/>
            <w:hideMark/>
          </w:tcPr>
          <w:p w14:paraId="489BC2AA"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6.7</w:t>
            </w:r>
          </w:p>
        </w:tc>
        <w:tc>
          <w:tcPr>
            <w:tcW w:w="288" w:type="dxa"/>
            <w:tcBorders>
              <w:top w:val="nil"/>
              <w:left w:val="nil"/>
              <w:bottom w:val="single" w:sz="4" w:space="0" w:color="auto"/>
              <w:right w:val="single" w:sz="4" w:space="0" w:color="auto"/>
            </w:tcBorders>
            <w:shd w:val="clear" w:color="auto" w:fill="auto"/>
            <w:vAlign w:val="bottom"/>
            <w:hideMark/>
          </w:tcPr>
          <w:p w14:paraId="1A87D205"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9</w:t>
            </w:r>
          </w:p>
        </w:tc>
        <w:tc>
          <w:tcPr>
            <w:tcW w:w="466" w:type="dxa"/>
            <w:tcBorders>
              <w:top w:val="nil"/>
              <w:left w:val="nil"/>
              <w:bottom w:val="single" w:sz="4" w:space="0" w:color="auto"/>
              <w:right w:val="single" w:sz="4" w:space="0" w:color="auto"/>
            </w:tcBorders>
            <w:shd w:val="clear" w:color="auto" w:fill="auto"/>
            <w:vAlign w:val="bottom"/>
            <w:hideMark/>
          </w:tcPr>
          <w:p w14:paraId="6790D09F"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11.7</w:t>
            </w:r>
          </w:p>
        </w:tc>
        <w:tc>
          <w:tcPr>
            <w:tcW w:w="288" w:type="dxa"/>
            <w:tcBorders>
              <w:top w:val="nil"/>
              <w:left w:val="nil"/>
              <w:bottom w:val="single" w:sz="4" w:space="0" w:color="auto"/>
              <w:right w:val="single" w:sz="4" w:space="0" w:color="auto"/>
            </w:tcBorders>
            <w:shd w:val="clear" w:color="auto" w:fill="auto"/>
            <w:vAlign w:val="bottom"/>
            <w:hideMark/>
          </w:tcPr>
          <w:p w14:paraId="39A0568D"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4</w:t>
            </w:r>
          </w:p>
        </w:tc>
        <w:tc>
          <w:tcPr>
            <w:tcW w:w="395" w:type="dxa"/>
            <w:tcBorders>
              <w:top w:val="nil"/>
              <w:left w:val="nil"/>
              <w:bottom w:val="single" w:sz="4" w:space="0" w:color="auto"/>
              <w:right w:val="single" w:sz="4" w:space="0" w:color="auto"/>
            </w:tcBorders>
            <w:shd w:val="clear" w:color="auto" w:fill="auto"/>
            <w:vAlign w:val="bottom"/>
            <w:hideMark/>
          </w:tcPr>
          <w:p w14:paraId="5725438D"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6.7</w:t>
            </w:r>
          </w:p>
        </w:tc>
        <w:tc>
          <w:tcPr>
            <w:tcW w:w="395" w:type="dxa"/>
            <w:tcBorders>
              <w:top w:val="nil"/>
              <w:left w:val="nil"/>
              <w:bottom w:val="single" w:sz="4" w:space="0" w:color="auto"/>
              <w:right w:val="single" w:sz="4" w:space="0" w:color="auto"/>
            </w:tcBorders>
            <w:shd w:val="clear" w:color="auto" w:fill="auto"/>
            <w:vAlign w:val="bottom"/>
            <w:hideMark/>
          </w:tcPr>
          <w:p w14:paraId="4B9D5A61"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8.2</w:t>
            </w:r>
          </w:p>
        </w:tc>
        <w:tc>
          <w:tcPr>
            <w:tcW w:w="288" w:type="dxa"/>
            <w:tcBorders>
              <w:top w:val="nil"/>
              <w:left w:val="nil"/>
              <w:bottom w:val="single" w:sz="4" w:space="0" w:color="auto"/>
              <w:right w:val="single" w:sz="4" w:space="0" w:color="auto"/>
            </w:tcBorders>
            <w:shd w:val="clear" w:color="auto" w:fill="auto"/>
            <w:vAlign w:val="bottom"/>
            <w:hideMark/>
          </w:tcPr>
          <w:p w14:paraId="6EA11320"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8</w:t>
            </w:r>
          </w:p>
        </w:tc>
        <w:tc>
          <w:tcPr>
            <w:tcW w:w="466" w:type="dxa"/>
            <w:tcBorders>
              <w:top w:val="nil"/>
              <w:left w:val="nil"/>
              <w:bottom w:val="single" w:sz="4" w:space="0" w:color="auto"/>
              <w:right w:val="single" w:sz="4" w:space="0" w:color="auto"/>
            </w:tcBorders>
            <w:shd w:val="clear" w:color="auto" w:fill="auto"/>
            <w:vAlign w:val="bottom"/>
            <w:hideMark/>
          </w:tcPr>
          <w:p w14:paraId="3467B54D"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10.7</w:t>
            </w:r>
          </w:p>
        </w:tc>
        <w:tc>
          <w:tcPr>
            <w:tcW w:w="360" w:type="dxa"/>
            <w:tcBorders>
              <w:top w:val="nil"/>
              <w:left w:val="nil"/>
              <w:bottom w:val="single" w:sz="4" w:space="0" w:color="auto"/>
              <w:right w:val="single" w:sz="4" w:space="0" w:color="auto"/>
            </w:tcBorders>
            <w:shd w:val="clear" w:color="auto" w:fill="auto"/>
            <w:vAlign w:val="bottom"/>
            <w:hideMark/>
          </w:tcPr>
          <w:p w14:paraId="09A31C6C"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15</w:t>
            </w:r>
          </w:p>
        </w:tc>
        <w:tc>
          <w:tcPr>
            <w:tcW w:w="466" w:type="dxa"/>
            <w:tcBorders>
              <w:top w:val="nil"/>
              <w:left w:val="nil"/>
              <w:bottom w:val="single" w:sz="4" w:space="0" w:color="auto"/>
              <w:right w:val="single" w:sz="4" w:space="0" w:color="auto"/>
            </w:tcBorders>
            <w:shd w:val="clear" w:color="auto" w:fill="auto"/>
            <w:vAlign w:val="bottom"/>
            <w:hideMark/>
          </w:tcPr>
          <w:p w14:paraId="51861FB8"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17.7</w:t>
            </w:r>
          </w:p>
        </w:tc>
        <w:tc>
          <w:tcPr>
            <w:tcW w:w="697" w:type="dxa"/>
            <w:tcBorders>
              <w:top w:val="nil"/>
              <w:left w:val="nil"/>
              <w:bottom w:val="single" w:sz="4" w:space="0" w:color="auto"/>
              <w:right w:val="single" w:sz="4" w:space="0" w:color="auto"/>
            </w:tcBorders>
            <w:shd w:val="clear" w:color="auto" w:fill="auto"/>
            <w:vAlign w:val="bottom"/>
            <w:hideMark/>
          </w:tcPr>
          <w:p w14:paraId="217BB06F"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8.98</w:t>
            </w:r>
          </w:p>
        </w:tc>
      </w:tr>
      <w:tr w:rsidR="00CF1062" w14:paraId="5325C463" w14:textId="77777777" w:rsidTr="004F4EE9">
        <w:trPr>
          <w:trHeight w:val="320"/>
        </w:trPr>
        <w:tc>
          <w:tcPr>
            <w:tcW w:w="561" w:type="dxa"/>
            <w:tcBorders>
              <w:top w:val="nil"/>
              <w:left w:val="single" w:sz="4" w:space="0" w:color="auto"/>
              <w:bottom w:val="single" w:sz="4" w:space="0" w:color="auto"/>
              <w:right w:val="single" w:sz="4" w:space="0" w:color="auto"/>
            </w:tcBorders>
            <w:shd w:val="clear" w:color="auto" w:fill="auto"/>
            <w:vAlign w:val="bottom"/>
            <w:hideMark/>
          </w:tcPr>
          <w:p w14:paraId="3DF6D32F" w14:textId="77777777" w:rsidR="00CF1062" w:rsidRDefault="00CF1062" w:rsidP="004F4EE9">
            <w:pPr>
              <w:jc w:val="center"/>
              <w:rPr>
                <w:rFonts w:ascii="Calibri" w:eastAsia="Times New Roman" w:hAnsi="Calibri"/>
                <w:b/>
                <w:bCs/>
                <w:color w:val="000000"/>
                <w:sz w:val="16"/>
                <w:szCs w:val="16"/>
              </w:rPr>
            </w:pPr>
            <w:r>
              <w:rPr>
                <w:rFonts w:ascii="Calibri" w:eastAsia="Times New Roman" w:hAnsi="Calibri"/>
                <w:b/>
                <w:bCs/>
                <w:color w:val="000000"/>
                <w:sz w:val="16"/>
                <w:szCs w:val="16"/>
              </w:rPr>
              <w:t>IM5</w:t>
            </w:r>
          </w:p>
        </w:tc>
        <w:tc>
          <w:tcPr>
            <w:tcW w:w="361" w:type="dxa"/>
            <w:tcBorders>
              <w:top w:val="nil"/>
              <w:left w:val="nil"/>
              <w:bottom w:val="single" w:sz="4" w:space="0" w:color="auto"/>
              <w:right w:val="single" w:sz="4" w:space="0" w:color="auto"/>
            </w:tcBorders>
            <w:shd w:val="clear" w:color="auto" w:fill="auto"/>
            <w:vAlign w:val="bottom"/>
            <w:hideMark/>
          </w:tcPr>
          <w:p w14:paraId="4110840C"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5</w:t>
            </w:r>
          </w:p>
        </w:tc>
        <w:tc>
          <w:tcPr>
            <w:tcW w:w="467" w:type="dxa"/>
            <w:tcBorders>
              <w:top w:val="nil"/>
              <w:left w:val="nil"/>
              <w:bottom w:val="single" w:sz="4" w:space="0" w:color="auto"/>
              <w:right w:val="single" w:sz="4" w:space="0" w:color="auto"/>
            </w:tcBorders>
            <w:shd w:val="clear" w:color="auto" w:fill="auto"/>
            <w:vAlign w:val="bottom"/>
            <w:hideMark/>
          </w:tcPr>
          <w:p w14:paraId="31A68F43"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6.4</w:t>
            </w:r>
          </w:p>
        </w:tc>
        <w:tc>
          <w:tcPr>
            <w:tcW w:w="467" w:type="dxa"/>
            <w:tcBorders>
              <w:top w:val="nil"/>
              <w:left w:val="nil"/>
              <w:bottom w:val="single" w:sz="4" w:space="0" w:color="auto"/>
              <w:right w:val="single" w:sz="4" w:space="0" w:color="auto"/>
            </w:tcBorders>
            <w:shd w:val="clear" w:color="auto" w:fill="auto"/>
            <w:vAlign w:val="bottom"/>
            <w:hideMark/>
          </w:tcPr>
          <w:p w14:paraId="5DD2BB14"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2.5</w:t>
            </w:r>
          </w:p>
        </w:tc>
        <w:tc>
          <w:tcPr>
            <w:tcW w:w="467" w:type="dxa"/>
            <w:tcBorders>
              <w:top w:val="nil"/>
              <w:left w:val="nil"/>
              <w:bottom w:val="single" w:sz="4" w:space="0" w:color="auto"/>
              <w:right w:val="single" w:sz="4" w:space="0" w:color="auto"/>
            </w:tcBorders>
            <w:shd w:val="clear" w:color="auto" w:fill="auto"/>
            <w:vAlign w:val="bottom"/>
            <w:hideMark/>
          </w:tcPr>
          <w:p w14:paraId="785FE1E0"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5.5</w:t>
            </w:r>
          </w:p>
        </w:tc>
        <w:tc>
          <w:tcPr>
            <w:tcW w:w="466" w:type="dxa"/>
            <w:tcBorders>
              <w:top w:val="nil"/>
              <w:left w:val="nil"/>
              <w:bottom w:val="single" w:sz="4" w:space="0" w:color="auto"/>
              <w:right w:val="single" w:sz="4" w:space="0" w:color="auto"/>
            </w:tcBorders>
            <w:shd w:val="clear" w:color="auto" w:fill="auto"/>
            <w:vAlign w:val="bottom"/>
            <w:hideMark/>
          </w:tcPr>
          <w:p w14:paraId="116958FF"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360" w:type="dxa"/>
            <w:tcBorders>
              <w:top w:val="nil"/>
              <w:left w:val="nil"/>
              <w:bottom w:val="single" w:sz="4" w:space="0" w:color="auto"/>
              <w:right w:val="single" w:sz="4" w:space="0" w:color="auto"/>
            </w:tcBorders>
            <w:shd w:val="clear" w:color="auto" w:fill="auto"/>
            <w:vAlign w:val="bottom"/>
            <w:hideMark/>
          </w:tcPr>
          <w:p w14:paraId="1187E39D"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2533C19F"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4D97C475"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52589239"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2AEE66C1"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16E8CFFC"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7C7FB02A"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49962F3F"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219F649F"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7AE3EE57"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153B83DB"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395" w:type="dxa"/>
            <w:tcBorders>
              <w:top w:val="nil"/>
              <w:left w:val="nil"/>
              <w:bottom w:val="single" w:sz="4" w:space="0" w:color="auto"/>
              <w:right w:val="single" w:sz="4" w:space="0" w:color="auto"/>
            </w:tcBorders>
            <w:shd w:val="clear" w:color="auto" w:fill="auto"/>
            <w:vAlign w:val="bottom"/>
            <w:hideMark/>
          </w:tcPr>
          <w:p w14:paraId="273E32F7"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288" w:type="dxa"/>
            <w:tcBorders>
              <w:top w:val="nil"/>
              <w:left w:val="nil"/>
              <w:bottom w:val="single" w:sz="4" w:space="0" w:color="auto"/>
              <w:right w:val="single" w:sz="4" w:space="0" w:color="auto"/>
            </w:tcBorders>
            <w:shd w:val="clear" w:color="auto" w:fill="auto"/>
            <w:vAlign w:val="bottom"/>
            <w:hideMark/>
          </w:tcPr>
          <w:p w14:paraId="1835EF5F"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682CC77B"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360" w:type="dxa"/>
            <w:tcBorders>
              <w:top w:val="nil"/>
              <w:left w:val="nil"/>
              <w:bottom w:val="single" w:sz="4" w:space="0" w:color="auto"/>
              <w:right w:val="single" w:sz="4" w:space="0" w:color="auto"/>
            </w:tcBorders>
            <w:shd w:val="clear" w:color="auto" w:fill="auto"/>
            <w:vAlign w:val="bottom"/>
            <w:hideMark/>
          </w:tcPr>
          <w:p w14:paraId="18EDADD3"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466" w:type="dxa"/>
            <w:tcBorders>
              <w:top w:val="nil"/>
              <w:left w:val="nil"/>
              <w:bottom w:val="single" w:sz="4" w:space="0" w:color="auto"/>
              <w:right w:val="single" w:sz="4" w:space="0" w:color="auto"/>
            </w:tcBorders>
            <w:shd w:val="clear" w:color="auto" w:fill="auto"/>
            <w:vAlign w:val="bottom"/>
            <w:hideMark/>
          </w:tcPr>
          <w:p w14:paraId="71323FF5" w14:textId="77777777" w:rsidR="00CF1062" w:rsidRDefault="00CF1062" w:rsidP="004F4EE9">
            <w:pPr>
              <w:jc w:val="center"/>
              <w:rPr>
                <w:rFonts w:ascii="Arial" w:eastAsia="Times New Roman" w:hAnsi="Arial" w:cs="Arial"/>
                <w:sz w:val="16"/>
                <w:szCs w:val="16"/>
              </w:rPr>
            </w:pPr>
            <w:r>
              <w:rPr>
                <w:rFonts w:ascii="Arial" w:eastAsia="Times New Roman" w:hAnsi="Arial" w:cs="Arial"/>
                <w:sz w:val="16"/>
                <w:szCs w:val="16"/>
              </w:rPr>
              <w:t> </w:t>
            </w:r>
          </w:p>
        </w:tc>
        <w:tc>
          <w:tcPr>
            <w:tcW w:w="697" w:type="dxa"/>
            <w:tcBorders>
              <w:top w:val="nil"/>
              <w:left w:val="nil"/>
              <w:bottom w:val="single" w:sz="4" w:space="0" w:color="auto"/>
              <w:right w:val="single" w:sz="4" w:space="0" w:color="auto"/>
            </w:tcBorders>
            <w:shd w:val="clear" w:color="auto" w:fill="auto"/>
            <w:vAlign w:val="bottom"/>
            <w:hideMark/>
          </w:tcPr>
          <w:p w14:paraId="2FCC7EB5" w14:textId="77777777" w:rsidR="00CF1062" w:rsidRDefault="00CF1062" w:rsidP="004F4EE9">
            <w:pPr>
              <w:jc w:val="center"/>
              <w:rPr>
                <w:rFonts w:ascii="Calibri" w:eastAsia="Times New Roman" w:hAnsi="Calibri"/>
                <w:color w:val="000000"/>
                <w:sz w:val="16"/>
                <w:szCs w:val="16"/>
              </w:rPr>
            </w:pPr>
            <w:r>
              <w:rPr>
                <w:rFonts w:ascii="Calibri" w:eastAsia="Times New Roman" w:hAnsi="Calibri"/>
                <w:color w:val="000000"/>
                <w:sz w:val="16"/>
                <w:szCs w:val="16"/>
              </w:rPr>
              <w:t>4.85</w:t>
            </w:r>
          </w:p>
        </w:tc>
      </w:tr>
    </w:tbl>
    <w:p w14:paraId="6AEBF39D" w14:textId="77777777" w:rsidR="00CF1062" w:rsidRDefault="00CF1062" w:rsidP="00CF1062">
      <w:pPr>
        <w:jc w:val="both"/>
        <w:rPr>
          <w:sz w:val="20"/>
        </w:rPr>
      </w:pPr>
    </w:p>
    <w:p w14:paraId="78EDAC38" w14:textId="7C89105A" w:rsidR="00CF1062" w:rsidRDefault="00CF1062" w:rsidP="00CF1062">
      <w:pPr>
        <w:jc w:val="both"/>
        <w:rPr>
          <w:rFonts w:eastAsia="宋体"/>
          <w:b/>
          <w:i/>
          <w:sz w:val="22"/>
          <w:szCs w:val="22"/>
        </w:rPr>
      </w:pPr>
      <w:r>
        <w:rPr>
          <w:sz w:val="20"/>
        </w:rPr>
        <w:t xml:space="preserve">From the Table, the 5th order IM, IM5, can still cause close to 5dB Rx sensitivity degradation at the UE side. From the UL perspective, </w:t>
      </w:r>
      <w:r>
        <w:rPr>
          <w:sz w:val="20"/>
        </w:rPr>
        <w:fldChar w:fldCharType="begin"/>
      </w:r>
      <w:r>
        <w:rPr>
          <w:sz w:val="20"/>
        </w:rPr>
        <w:instrText xml:space="preserve"> REF _Ref494352517 \h </w:instrText>
      </w:r>
      <w:r>
        <w:rPr>
          <w:sz w:val="20"/>
        </w:rPr>
      </w:r>
      <w:r>
        <w:rPr>
          <w:sz w:val="20"/>
        </w:rPr>
        <w:fldChar w:fldCharType="separate"/>
      </w:r>
      <w:r w:rsidRPr="0035754F">
        <w:rPr>
          <w:sz w:val="20"/>
        </w:rPr>
        <w:t xml:space="preserve">Figure </w:t>
      </w:r>
      <w:r>
        <w:rPr>
          <w:noProof/>
          <w:sz w:val="20"/>
        </w:rPr>
        <w:t>7</w:t>
      </w:r>
      <w:r>
        <w:rPr>
          <w:sz w:val="20"/>
        </w:rPr>
        <w:fldChar w:fldCharType="end"/>
      </w:r>
      <w:r>
        <w:rPr>
          <w:sz w:val="20"/>
        </w:rPr>
        <w:t xml:space="preserve"> shows that, compared to single UL, for majority of the UEs, dual UL suffers performance loss. Even for small percentile of UEs that dual UL performs better, the gain is very limited. </w:t>
      </w:r>
    </w:p>
    <w:p w14:paraId="50F4C69F" w14:textId="77777777" w:rsidR="00CF1062" w:rsidRDefault="00CF1062" w:rsidP="00CF1062">
      <w:pPr>
        <w:rPr>
          <w:sz w:val="20"/>
          <w:szCs w:val="20"/>
        </w:rPr>
      </w:pPr>
    </w:p>
    <w:p w14:paraId="68F4BA38" w14:textId="77777777" w:rsidR="00CF1062" w:rsidRPr="004E34E7" w:rsidRDefault="00CF1062" w:rsidP="00CF1062">
      <w:pPr>
        <w:overflowPunct w:val="0"/>
        <w:autoSpaceDE w:val="0"/>
        <w:autoSpaceDN w:val="0"/>
        <w:adjustRightInd w:val="0"/>
        <w:spacing w:before="100" w:beforeAutospacing="1" w:after="100" w:afterAutospacing="1"/>
        <w:ind w:left="562"/>
        <w:textAlignment w:val="baseline"/>
        <w:rPr>
          <w:sz w:val="22"/>
          <w:szCs w:val="22"/>
        </w:rPr>
      </w:pPr>
    </w:p>
    <w:sectPr w:rsidR="00CF1062" w:rsidRPr="004E34E7">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D7473" w14:textId="77777777" w:rsidR="00724FE4" w:rsidRDefault="00724FE4">
      <w:r>
        <w:separator/>
      </w:r>
    </w:p>
  </w:endnote>
  <w:endnote w:type="continuationSeparator" w:id="0">
    <w:p w14:paraId="1897ED7E" w14:textId="77777777" w:rsidR="00724FE4" w:rsidRDefault="00724FE4">
      <w:r>
        <w:continuationSeparator/>
      </w:r>
    </w:p>
  </w:endnote>
  <w:endnote w:type="continuationNotice" w:id="1">
    <w:p w14:paraId="75DDB1A8" w14:textId="77777777" w:rsidR="00724FE4" w:rsidRDefault="00724F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MS Mincho">
    <w:panose1 w:val="02020609040205080304"/>
    <w:charset w:val="80"/>
    <w:family w:val="auto"/>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ＭＳ 明朝">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宋体">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FE2E7" w14:textId="77777777" w:rsidR="00DD267E" w:rsidRDefault="00DD26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11C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11C3">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90438" w14:textId="77777777" w:rsidR="00724FE4" w:rsidRDefault="00724FE4">
      <w:r>
        <w:separator/>
      </w:r>
    </w:p>
  </w:footnote>
  <w:footnote w:type="continuationSeparator" w:id="0">
    <w:p w14:paraId="264ECC2E" w14:textId="77777777" w:rsidR="00724FE4" w:rsidRDefault="00724FE4">
      <w:r>
        <w:continuationSeparator/>
      </w:r>
    </w:p>
  </w:footnote>
  <w:footnote w:type="continuationNotice" w:id="1">
    <w:p w14:paraId="511C4600" w14:textId="77777777" w:rsidR="00724FE4" w:rsidRDefault="00724FE4"/>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61EC32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E75E5C"/>
    <w:multiLevelType w:val="hybridMultilevel"/>
    <w:tmpl w:val="62AA7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083AAF"/>
    <w:multiLevelType w:val="hybridMultilevel"/>
    <w:tmpl w:val="167AA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07B05"/>
    <w:multiLevelType w:val="hybridMultilevel"/>
    <w:tmpl w:val="70ACF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1A5C4D"/>
    <w:multiLevelType w:val="hybridMultilevel"/>
    <w:tmpl w:val="97C01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925B91"/>
    <w:multiLevelType w:val="hybridMultilevel"/>
    <w:tmpl w:val="67E06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B4210F"/>
    <w:multiLevelType w:val="hybridMultilevel"/>
    <w:tmpl w:val="EC949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1B000F"/>
    <w:multiLevelType w:val="hybridMultilevel"/>
    <w:tmpl w:val="BEFEA194"/>
    <w:lvl w:ilvl="0" w:tplc="20304574">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5F6A78"/>
    <w:multiLevelType w:val="hybridMultilevel"/>
    <w:tmpl w:val="71B6B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E925AB"/>
    <w:multiLevelType w:val="hybridMultilevel"/>
    <w:tmpl w:val="88BE7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6635C3"/>
    <w:multiLevelType w:val="hybridMultilevel"/>
    <w:tmpl w:val="59A6A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5D06ED"/>
    <w:multiLevelType w:val="hybridMultilevel"/>
    <w:tmpl w:val="B0B23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8865E1"/>
    <w:multiLevelType w:val="hybridMultilevel"/>
    <w:tmpl w:val="7F8EF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B50853"/>
    <w:multiLevelType w:val="hybridMultilevel"/>
    <w:tmpl w:val="C4E65EC2"/>
    <w:lvl w:ilvl="0" w:tplc="04090017">
      <w:start w:val="1"/>
      <w:numFmt w:val="lowerLetter"/>
      <w:lvlText w:val="%1)"/>
      <w:lvlJc w:val="left"/>
      <w:pPr>
        <w:ind w:left="720" w:hanging="360"/>
      </w:pPr>
      <w:rPr>
        <w:rFonts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16">
    <w:nsid w:val="22734CD2"/>
    <w:multiLevelType w:val="hybridMultilevel"/>
    <w:tmpl w:val="A972E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41B5D88"/>
    <w:multiLevelType w:val="hybridMultilevel"/>
    <w:tmpl w:val="F42E36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9A72D2"/>
    <w:multiLevelType w:val="hybridMultilevel"/>
    <w:tmpl w:val="1B46D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F84E2D"/>
    <w:multiLevelType w:val="hybridMultilevel"/>
    <w:tmpl w:val="B3207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4B7A18"/>
    <w:multiLevelType w:val="hybridMultilevel"/>
    <w:tmpl w:val="A62A3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A07275"/>
    <w:multiLevelType w:val="hybridMultilevel"/>
    <w:tmpl w:val="4C548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3C682E81"/>
    <w:multiLevelType w:val="hybridMultilevel"/>
    <w:tmpl w:val="95B83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D867A86"/>
    <w:multiLevelType w:val="hybridMultilevel"/>
    <w:tmpl w:val="4EDE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5B73828"/>
    <w:multiLevelType w:val="hybridMultilevel"/>
    <w:tmpl w:val="18CA8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32">
    <w:nsid w:val="498411D5"/>
    <w:multiLevelType w:val="hybridMultilevel"/>
    <w:tmpl w:val="9A74DE70"/>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33">
    <w:nsid w:val="4BD02839"/>
    <w:multiLevelType w:val="hybridMultilevel"/>
    <w:tmpl w:val="1692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BD20A62"/>
    <w:multiLevelType w:val="hybridMultilevel"/>
    <w:tmpl w:val="F806B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D1A2EDE"/>
    <w:multiLevelType w:val="hybridMultilevel"/>
    <w:tmpl w:val="D88CF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0D426F3"/>
    <w:multiLevelType w:val="hybridMultilevel"/>
    <w:tmpl w:val="EC147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3B57C81"/>
    <w:multiLevelType w:val="hybridMultilevel"/>
    <w:tmpl w:val="67D83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1A11CBD"/>
    <w:multiLevelType w:val="hybridMultilevel"/>
    <w:tmpl w:val="67021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43">
    <w:nsid w:val="6B030FB8"/>
    <w:multiLevelType w:val="hybridMultilevel"/>
    <w:tmpl w:val="DF36D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B5158BF"/>
    <w:multiLevelType w:val="hybridMultilevel"/>
    <w:tmpl w:val="CF3CCC12"/>
    <w:lvl w:ilvl="0" w:tplc="7046A014">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111937"/>
    <w:multiLevelType w:val="hybridMultilevel"/>
    <w:tmpl w:val="1FE4D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4C1650"/>
    <w:multiLevelType w:val="hybridMultilevel"/>
    <w:tmpl w:val="23FE4B6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35"/>
  </w:num>
  <w:num w:numId="3">
    <w:abstractNumId w:val="25"/>
  </w:num>
  <w:num w:numId="4">
    <w:abstractNumId w:val="26"/>
  </w:num>
  <w:num w:numId="5">
    <w:abstractNumId w:val="21"/>
  </w:num>
  <w:num w:numId="6">
    <w:abstractNumId w:val="29"/>
  </w:num>
  <w:num w:numId="7">
    <w:abstractNumId w:val="40"/>
  </w:num>
  <w:num w:numId="8">
    <w:abstractNumId w:val="22"/>
  </w:num>
  <w:num w:numId="9">
    <w:abstractNumId w:val="38"/>
  </w:num>
  <w:num w:numId="10">
    <w:abstractNumId w:val="34"/>
  </w:num>
  <w:num w:numId="11">
    <w:abstractNumId w:val="19"/>
  </w:num>
  <w:num w:numId="12">
    <w:abstractNumId w:val="10"/>
  </w:num>
  <w:num w:numId="13">
    <w:abstractNumId w:val="28"/>
  </w:num>
  <w:num w:numId="14">
    <w:abstractNumId w:val="13"/>
  </w:num>
  <w:num w:numId="15">
    <w:abstractNumId w:val="5"/>
  </w:num>
  <w:num w:numId="16">
    <w:abstractNumId w:val="16"/>
  </w:num>
  <w:num w:numId="17">
    <w:abstractNumId w:val="41"/>
  </w:num>
  <w:num w:numId="18">
    <w:abstractNumId w:val="6"/>
  </w:num>
  <w:num w:numId="19">
    <w:abstractNumId w:val="45"/>
  </w:num>
  <w:num w:numId="20">
    <w:abstractNumId w:val="8"/>
  </w:num>
  <w:num w:numId="21">
    <w:abstractNumId w:val="11"/>
  </w:num>
  <w:num w:numId="22">
    <w:abstractNumId w:val="30"/>
  </w:num>
  <w:num w:numId="23">
    <w:abstractNumId w:val="32"/>
  </w:num>
  <w:num w:numId="24">
    <w:abstractNumId w:val="46"/>
  </w:num>
  <w:num w:numId="25">
    <w:abstractNumId w:val="0"/>
  </w:num>
  <w:num w:numId="26">
    <w:abstractNumId w:val="20"/>
  </w:num>
  <w:num w:numId="27">
    <w:abstractNumId w:val="17"/>
  </w:num>
  <w:num w:numId="28">
    <w:abstractNumId w:val="4"/>
  </w:num>
  <w:num w:numId="29">
    <w:abstractNumId w:val="39"/>
  </w:num>
  <w:num w:numId="30">
    <w:abstractNumId w:val="27"/>
  </w:num>
  <w:num w:numId="31">
    <w:abstractNumId w:val="42"/>
  </w:num>
  <w:num w:numId="32">
    <w:abstractNumId w:val="1"/>
  </w:num>
  <w:num w:numId="33">
    <w:abstractNumId w:val="15"/>
  </w:num>
  <w:num w:numId="34">
    <w:abstractNumId w:val="37"/>
  </w:num>
  <w:num w:numId="35">
    <w:abstractNumId w:val="31"/>
  </w:num>
  <w:num w:numId="36">
    <w:abstractNumId w:val="14"/>
  </w:num>
  <w:num w:numId="37">
    <w:abstractNumId w:val="12"/>
  </w:num>
  <w:num w:numId="38">
    <w:abstractNumId w:val="23"/>
  </w:num>
  <w:num w:numId="39">
    <w:abstractNumId w:val="43"/>
  </w:num>
  <w:num w:numId="40">
    <w:abstractNumId w:val="33"/>
  </w:num>
  <w:num w:numId="41">
    <w:abstractNumId w:val="18"/>
  </w:num>
  <w:num w:numId="42">
    <w:abstractNumId w:val="24"/>
  </w:num>
  <w:num w:numId="43">
    <w:abstractNumId w:val="3"/>
  </w:num>
  <w:num w:numId="44">
    <w:abstractNumId w:val="7"/>
  </w:num>
  <w:num w:numId="45">
    <w:abstractNumId w:val="36"/>
  </w:num>
  <w:num w:numId="46">
    <w:abstractNumId w:val="9"/>
  </w:num>
  <w:num w:numId="47">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3F51"/>
    <w:rsid w:val="0003438B"/>
    <w:rsid w:val="0003476B"/>
    <w:rsid w:val="00034C15"/>
    <w:rsid w:val="00036BA1"/>
    <w:rsid w:val="00037E0E"/>
    <w:rsid w:val="00041768"/>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707A2"/>
    <w:rsid w:val="000708A3"/>
    <w:rsid w:val="00071F96"/>
    <w:rsid w:val="00075C5D"/>
    <w:rsid w:val="0007717C"/>
    <w:rsid w:val="00077D33"/>
    <w:rsid w:val="00077E5F"/>
    <w:rsid w:val="0008036A"/>
    <w:rsid w:val="0008055F"/>
    <w:rsid w:val="00080878"/>
    <w:rsid w:val="000819CF"/>
    <w:rsid w:val="00081AE6"/>
    <w:rsid w:val="00082E93"/>
    <w:rsid w:val="00083B14"/>
    <w:rsid w:val="00083EC4"/>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BDE"/>
    <w:rsid w:val="000E0527"/>
    <w:rsid w:val="000E0A04"/>
    <w:rsid w:val="000E0B10"/>
    <w:rsid w:val="000E113C"/>
    <w:rsid w:val="000E1E92"/>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B06"/>
    <w:rsid w:val="00100D9C"/>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6765"/>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7C2"/>
    <w:rsid w:val="00130288"/>
    <w:rsid w:val="001302FA"/>
    <w:rsid w:val="00130B6B"/>
    <w:rsid w:val="00130D0E"/>
    <w:rsid w:val="00131A54"/>
    <w:rsid w:val="00132225"/>
    <w:rsid w:val="00132FD0"/>
    <w:rsid w:val="00133E1C"/>
    <w:rsid w:val="00133E57"/>
    <w:rsid w:val="001344C0"/>
    <w:rsid w:val="001346FA"/>
    <w:rsid w:val="00135252"/>
    <w:rsid w:val="00135881"/>
    <w:rsid w:val="00135905"/>
    <w:rsid w:val="001363EF"/>
    <w:rsid w:val="00136C56"/>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DF9"/>
    <w:rsid w:val="001A0F35"/>
    <w:rsid w:val="001A10BD"/>
    <w:rsid w:val="001A1549"/>
    <w:rsid w:val="001A1987"/>
    <w:rsid w:val="001A2564"/>
    <w:rsid w:val="001A2707"/>
    <w:rsid w:val="001A279E"/>
    <w:rsid w:val="001A3324"/>
    <w:rsid w:val="001A464A"/>
    <w:rsid w:val="001A48E8"/>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17DD"/>
    <w:rsid w:val="002224DB"/>
    <w:rsid w:val="00222DBC"/>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777C"/>
    <w:rsid w:val="002805F5"/>
    <w:rsid w:val="00280751"/>
    <w:rsid w:val="002811C3"/>
    <w:rsid w:val="002818AE"/>
    <w:rsid w:val="002827AD"/>
    <w:rsid w:val="0028280A"/>
    <w:rsid w:val="00282A55"/>
    <w:rsid w:val="00283426"/>
    <w:rsid w:val="00283FA1"/>
    <w:rsid w:val="00284D9D"/>
    <w:rsid w:val="00285265"/>
    <w:rsid w:val="002854D5"/>
    <w:rsid w:val="00286ACD"/>
    <w:rsid w:val="00286D5A"/>
    <w:rsid w:val="00287838"/>
    <w:rsid w:val="00290332"/>
    <w:rsid w:val="002907B5"/>
    <w:rsid w:val="00290B08"/>
    <w:rsid w:val="00291663"/>
    <w:rsid w:val="00291B4C"/>
    <w:rsid w:val="002922E6"/>
    <w:rsid w:val="00292EB7"/>
    <w:rsid w:val="0029321E"/>
    <w:rsid w:val="002940D2"/>
    <w:rsid w:val="002941E2"/>
    <w:rsid w:val="00296227"/>
    <w:rsid w:val="00296C78"/>
    <w:rsid w:val="00296D79"/>
    <w:rsid w:val="00296D80"/>
    <w:rsid w:val="00296F44"/>
    <w:rsid w:val="0029767A"/>
    <w:rsid w:val="0029777D"/>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2BE"/>
    <w:rsid w:val="002A7452"/>
    <w:rsid w:val="002A794B"/>
    <w:rsid w:val="002A79BE"/>
    <w:rsid w:val="002B007F"/>
    <w:rsid w:val="002B0189"/>
    <w:rsid w:val="002B1373"/>
    <w:rsid w:val="002B1E4E"/>
    <w:rsid w:val="002B24D6"/>
    <w:rsid w:val="002B29F4"/>
    <w:rsid w:val="002B2FBC"/>
    <w:rsid w:val="002B33EC"/>
    <w:rsid w:val="002B3CB5"/>
    <w:rsid w:val="002B4256"/>
    <w:rsid w:val="002B46F2"/>
    <w:rsid w:val="002B4D70"/>
    <w:rsid w:val="002B56F8"/>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BD7"/>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688E"/>
    <w:rsid w:val="003670C4"/>
    <w:rsid w:val="00370E47"/>
    <w:rsid w:val="00371752"/>
    <w:rsid w:val="00372570"/>
    <w:rsid w:val="0037322F"/>
    <w:rsid w:val="003742A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15EB"/>
    <w:rsid w:val="0039320A"/>
    <w:rsid w:val="0039386A"/>
    <w:rsid w:val="003939FF"/>
    <w:rsid w:val="00393BCB"/>
    <w:rsid w:val="00394001"/>
    <w:rsid w:val="0039438D"/>
    <w:rsid w:val="00395165"/>
    <w:rsid w:val="00396685"/>
    <w:rsid w:val="00397D57"/>
    <w:rsid w:val="003A0892"/>
    <w:rsid w:val="003A0F64"/>
    <w:rsid w:val="003A16A6"/>
    <w:rsid w:val="003A1C15"/>
    <w:rsid w:val="003A2223"/>
    <w:rsid w:val="003A2638"/>
    <w:rsid w:val="003A2692"/>
    <w:rsid w:val="003A2A0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E0"/>
    <w:rsid w:val="003B7700"/>
    <w:rsid w:val="003B785E"/>
    <w:rsid w:val="003B7FE5"/>
    <w:rsid w:val="003C11C8"/>
    <w:rsid w:val="003C1905"/>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434B"/>
    <w:rsid w:val="003E55E4"/>
    <w:rsid w:val="003E5D31"/>
    <w:rsid w:val="003E6208"/>
    <w:rsid w:val="003E64FD"/>
    <w:rsid w:val="003E6BC9"/>
    <w:rsid w:val="003E74E3"/>
    <w:rsid w:val="003E770B"/>
    <w:rsid w:val="003F011C"/>
    <w:rsid w:val="003F0137"/>
    <w:rsid w:val="003F01B0"/>
    <w:rsid w:val="003F05C7"/>
    <w:rsid w:val="003F0E82"/>
    <w:rsid w:val="003F163A"/>
    <w:rsid w:val="003F178D"/>
    <w:rsid w:val="003F1C94"/>
    <w:rsid w:val="003F1CDA"/>
    <w:rsid w:val="003F2497"/>
    <w:rsid w:val="003F2CD4"/>
    <w:rsid w:val="003F3103"/>
    <w:rsid w:val="003F4198"/>
    <w:rsid w:val="003F41C6"/>
    <w:rsid w:val="003F43C0"/>
    <w:rsid w:val="003F5328"/>
    <w:rsid w:val="003F633D"/>
    <w:rsid w:val="003F6BBE"/>
    <w:rsid w:val="003F6E7D"/>
    <w:rsid w:val="003F6ED2"/>
    <w:rsid w:val="004000E8"/>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F3A"/>
    <w:rsid w:val="0046694A"/>
    <w:rsid w:val="004669E2"/>
    <w:rsid w:val="00466EBC"/>
    <w:rsid w:val="00470C31"/>
    <w:rsid w:val="00470C4F"/>
    <w:rsid w:val="004719C3"/>
    <w:rsid w:val="004734D0"/>
    <w:rsid w:val="00473C75"/>
    <w:rsid w:val="00474096"/>
    <w:rsid w:val="004744C0"/>
    <w:rsid w:val="0047556B"/>
    <w:rsid w:val="00475C6C"/>
    <w:rsid w:val="0047631A"/>
    <w:rsid w:val="004765C1"/>
    <w:rsid w:val="00476929"/>
    <w:rsid w:val="00477768"/>
    <w:rsid w:val="004778F1"/>
    <w:rsid w:val="00477B5E"/>
    <w:rsid w:val="004808FD"/>
    <w:rsid w:val="004821D5"/>
    <w:rsid w:val="004824B0"/>
    <w:rsid w:val="00483127"/>
    <w:rsid w:val="004843B1"/>
    <w:rsid w:val="00484649"/>
    <w:rsid w:val="004853CE"/>
    <w:rsid w:val="00485A5D"/>
    <w:rsid w:val="0048618E"/>
    <w:rsid w:val="00487488"/>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DA1"/>
    <w:rsid w:val="004A056F"/>
    <w:rsid w:val="004A16BC"/>
    <w:rsid w:val="004A170E"/>
    <w:rsid w:val="004A1C33"/>
    <w:rsid w:val="004A2164"/>
    <w:rsid w:val="004A2416"/>
    <w:rsid w:val="004A2B94"/>
    <w:rsid w:val="004A3092"/>
    <w:rsid w:val="004A4CED"/>
    <w:rsid w:val="004A515A"/>
    <w:rsid w:val="004A52A2"/>
    <w:rsid w:val="004A54CD"/>
    <w:rsid w:val="004A6952"/>
    <w:rsid w:val="004A6B9D"/>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E7"/>
    <w:rsid w:val="004C755C"/>
    <w:rsid w:val="004D0121"/>
    <w:rsid w:val="004D021E"/>
    <w:rsid w:val="004D1C02"/>
    <w:rsid w:val="004D2209"/>
    <w:rsid w:val="004D2AF0"/>
    <w:rsid w:val="004D2CD3"/>
    <w:rsid w:val="004D3045"/>
    <w:rsid w:val="004D36B1"/>
    <w:rsid w:val="004D4FB4"/>
    <w:rsid w:val="004D57E5"/>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AE0"/>
    <w:rsid w:val="004F4200"/>
    <w:rsid w:val="004F4931"/>
    <w:rsid w:val="004F4AFB"/>
    <w:rsid w:val="004F4DA3"/>
    <w:rsid w:val="004F5AC4"/>
    <w:rsid w:val="004F631E"/>
    <w:rsid w:val="004F6B70"/>
    <w:rsid w:val="004F7717"/>
    <w:rsid w:val="00501082"/>
    <w:rsid w:val="005016E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4AC7"/>
    <w:rsid w:val="00525315"/>
    <w:rsid w:val="00525439"/>
    <w:rsid w:val="00526167"/>
    <w:rsid w:val="0052616B"/>
    <w:rsid w:val="00526998"/>
    <w:rsid w:val="00526B0A"/>
    <w:rsid w:val="005314A7"/>
    <w:rsid w:val="005317B9"/>
    <w:rsid w:val="005321B3"/>
    <w:rsid w:val="005338D0"/>
    <w:rsid w:val="00533977"/>
    <w:rsid w:val="00533EA0"/>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71AD"/>
    <w:rsid w:val="00567664"/>
    <w:rsid w:val="00567F21"/>
    <w:rsid w:val="00567F55"/>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462"/>
    <w:rsid w:val="00586FEE"/>
    <w:rsid w:val="0058798C"/>
    <w:rsid w:val="005900FA"/>
    <w:rsid w:val="00590855"/>
    <w:rsid w:val="00591ADF"/>
    <w:rsid w:val="00591D01"/>
    <w:rsid w:val="00591F85"/>
    <w:rsid w:val="0059346F"/>
    <w:rsid w:val="005935A4"/>
    <w:rsid w:val="0059484A"/>
    <w:rsid w:val="005948C2"/>
    <w:rsid w:val="0059525F"/>
    <w:rsid w:val="005955D9"/>
    <w:rsid w:val="00595B60"/>
    <w:rsid w:val="00595DCA"/>
    <w:rsid w:val="00596BF0"/>
    <w:rsid w:val="0059779B"/>
    <w:rsid w:val="005A0A0F"/>
    <w:rsid w:val="005A209A"/>
    <w:rsid w:val="005A2941"/>
    <w:rsid w:val="005A2D3E"/>
    <w:rsid w:val="005A2DB9"/>
    <w:rsid w:val="005A3F97"/>
    <w:rsid w:val="005A4EE2"/>
    <w:rsid w:val="005A519F"/>
    <w:rsid w:val="005A6354"/>
    <w:rsid w:val="005A662D"/>
    <w:rsid w:val="005A74A1"/>
    <w:rsid w:val="005B17CD"/>
    <w:rsid w:val="005B1A6F"/>
    <w:rsid w:val="005B2C89"/>
    <w:rsid w:val="005B2E45"/>
    <w:rsid w:val="005B3481"/>
    <w:rsid w:val="005B35D7"/>
    <w:rsid w:val="005B392A"/>
    <w:rsid w:val="005B3AA3"/>
    <w:rsid w:val="005B4C1E"/>
    <w:rsid w:val="005B6F83"/>
    <w:rsid w:val="005C1E43"/>
    <w:rsid w:val="005C2797"/>
    <w:rsid w:val="005C2D16"/>
    <w:rsid w:val="005C2ED9"/>
    <w:rsid w:val="005C31DE"/>
    <w:rsid w:val="005C33E1"/>
    <w:rsid w:val="005C4532"/>
    <w:rsid w:val="005C495F"/>
    <w:rsid w:val="005C58D4"/>
    <w:rsid w:val="005C61F6"/>
    <w:rsid w:val="005C63AE"/>
    <w:rsid w:val="005C6D8A"/>
    <w:rsid w:val="005C74FB"/>
    <w:rsid w:val="005D080A"/>
    <w:rsid w:val="005D0E89"/>
    <w:rsid w:val="005D1602"/>
    <w:rsid w:val="005D1627"/>
    <w:rsid w:val="005D2963"/>
    <w:rsid w:val="005D304C"/>
    <w:rsid w:val="005D382E"/>
    <w:rsid w:val="005D3A41"/>
    <w:rsid w:val="005D472A"/>
    <w:rsid w:val="005D528E"/>
    <w:rsid w:val="005D542C"/>
    <w:rsid w:val="005D5D93"/>
    <w:rsid w:val="005D610B"/>
    <w:rsid w:val="005D72CB"/>
    <w:rsid w:val="005D7561"/>
    <w:rsid w:val="005D775D"/>
    <w:rsid w:val="005E07ED"/>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53F5"/>
    <w:rsid w:val="006355C2"/>
    <w:rsid w:val="00636398"/>
    <w:rsid w:val="006368D3"/>
    <w:rsid w:val="0063737D"/>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91D35"/>
    <w:rsid w:val="00692288"/>
    <w:rsid w:val="00692947"/>
    <w:rsid w:val="00693420"/>
    <w:rsid w:val="00693EE0"/>
    <w:rsid w:val="006956A6"/>
    <w:rsid w:val="00695BA8"/>
    <w:rsid w:val="00695FC2"/>
    <w:rsid w:val="0069601D"/>
    <w:rsid w:val="00696949"/>
    <w:rsid w:val="00697052"/>
    <w:rsid w:val="00697951"/>
    <w:rsid w:val="00697BAE"/>
    <w:rsid w:val="006A0A9A"/>
    <w:rsid w:val="006A1AF7"/>
    <w:rsid w:val="006A1E84"/>
    <w:rsid w:val="006A27A1"/>
    <w:rsid w:val="006A282A"/>
    <w:rsid w:val="006A3A20"/>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406"/>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898"/>
    <w:rsid w:val="006E7D3B"/>
    <w:rsid w:val="006F01B6"/>
    <w:rsid w:val="006F1B70"/>
    <w:rsid w:val="006F2117"/>
    <w:rsid w:val="006F2235"/>
    <w:rsid w:val="006F263E"/>
    <w:rsid w:val="006F2DD7"/>
    <w:rsid w:val="006F341D"/>
    <w:rsid w:val="006F3931"/>
    <w:rsid w:val="006F3CDE"/>
    <w:rsid w:val="006F415D"/>
    <w:rsid w:val="006F4344"/>
    <w:rsid w:val="006F4D8E"/>
    <w:rsid w:val="006F50BB"/>
    <w:rsid w:val="006F51DD"/>
    <w:rsid w:val="006F5639"/>
    <w:rsid w:val="006F58D4"/>
    <w:rsid w:val="006F5C2C"/>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4FE4"/>
    <w:rsid w:val="00725CDF"/>
    <w:rsid w:val="00726300"/>
    <w:rsid w:val="00726422"/>
    <w:rsid w:val="00726EA6"/>
    <w:rsid w:val="00727208"/>
    <w:rsid w:val="0072766F"/>
    <w:rsid w:val="00727680"/>
    <w:rsid w:val="00727BE1"/>
    <w:rsid w:val="007301DD"/>
    <w:rsid w:val="00733BD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2885"/>
    <w:rsid w:val="007529C3"/>
    <w:rsid w:val="00753850"/>
    <w:rsid w:val="00754C5E"/>
    <w:rsid w:val="007552B3"/>
    <w:rsid w:val="00755349"/>
    <w:rsid w:val="007556C9"/>
    <w:rsid w:val="007560FD"/>
    <w:rsid w:val="0075619E"/>
    <w:rsid w:val="0075634C"/>
    <w:rsid w:val="007571E1"/>
    <w:rsid w:val="0075720C"/>
    <w:rsid w:val="00757633"/>
    <w:rsid w:val="00757746"/>
    <w:rsid w:val="007604B2"/>
    <w:rsid w:val="007616B3"/>
    <w:rsid w:val="00761953"/>
    <w:rsid w:val="00761E43"/>
    <w:rsid w:val="007630EA"/>
    <w:rsid w:val="00763A6D"/>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5EF"/>
    <w:rsid w:val="007A58A6"/>
    <w:rsid w:val="007A6600"/>
    <w:rsid w:val="007A7354"/>
    <w:rsid w:val="007A7C57"/>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800FF0"/>
    <w:rsid w:val="00801259"/>
    <w:rsid w:val="008019AB"/>
    <w:rsid w:val="00801AAC"/>
    <w:rsid w:val="0080223B"/>
    <w:rsid w:val="00802E78"/>
    <w:rsid w:val="00803FAE"/>
    <w:rsid w:val="0080409E"/>
    <w:rsid w:val="00804745"/>
    <w:rsid w:val="0080481B"/>
    <w:rsid w:val="0080503E"/>
    <w:rsid w:val="00805290"/>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7196"/>
    <w:rsid w:val="00817A92"/>
    <w:rsid w:val="00820A73"/>
    <w:rsid w:val="0082124D"/>
    <w:rsid w:val="00821EFC"/>
    <w:rsid w:val="00821F34"/>
    <w:rsid w:val="00822A3A"/>
    <w:rsid w:val="008235DB"/>
    <w:rsid w:val="00824AB4"/>
    <w:rsid w:val="00824B02"/>
    <w:rsid w:val="00825C42"/>
    <w:rsid w:val="00825D25"/>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EBA"/>
    <w:rsid w:val="0089119A"/>
    <w:rsid w:val="00892215"/>
    <w:rsid w:val="00893BB0"/>
    <w:rsid w:val="00893EF3"/>
    <w:rsid w:val="00894419"/>
    <w:rsid w:val="00894594"/>
    <w:rsid w:val="0089460D"/>
    <w:rsid w:val="00894A88"/>
    <w:rsid w:val="00894D6D"/>
    <w:rsid w:val="0089529C"/>
    <w:rsid w:val="00895386"/>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B5C"/>
    <w:rsid w:val="008B7D6F"/>
    <w:rsid w:val="008C0613"/>
    <w:rsid w:val="008C0C99"/>
    <w:rsid w:val="008C2017"/>
    <w:rsid w:val="008C256E"/>
    <w:rsid w:val="008C2AA7"/>
    <w:rsid w:val="008C38C7"/>
    <w:rsid w:val="008C42F8"/>
    <w:rsid w:val="008C45E3"/>
    <w:rsid w:val="008C4621"/>
    <w:rsid w:val="008C4958"/>
    <w:rsid w:val="008C4BAA"/>
    <w:rsid w:val="008C4C64"/>
    <w:rsid w:val="008C55AE"/>
    <w:rsid w:val="008C6AE8"/>
    <w:rsid w:val="008C6D30"/>
    <w:rsid w:val="008C6DCD"/>
    <w:rsid w:val="008C7573"/>
    <w:rsid w:val="008D0A60"/>
    <w:rsid w:val="008D0C67"/>
    <w:rsid w:val="008D2874"/>
    <w:rsid w:val="008D2EF8"/>
    <w:rsid w:val="008D337A"/>
    <w:rsid w:val="008D34F1"/>
    <w:rsid w:val="008D395B"/>
    <w:rsid w:val="008D39D8"/>
    <w:rsid w:val="008D4B3C"/>
    <w:rsid w:val="008D4BF2"/>
    <w:rsid w:val="008D500F"/>
    <w:rsid w:val="008D5CCD"/>
    <w:rsid w:val="008D6737"/>
    <w:rsid w:val="008D6AD5"/>
    <w:rsid w:val="008D6D1A"/>
    <w:rsid w:val="008E065E"/>
    <w:rsid w:val="008E07DC"/>
    <w:rsid w:val="008E0927"/>
    <w:rsid w:val="008E0F80"/>
    <w:rsid w:val="008E159E"/>
    <w:rsid w:val="008E1723"/>
    <w:rsid w:val="008E1909"/>
    <w:rsid w:val="008E1D70"/>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DFB"/>
    <w:rsid w:val="009139D9"/>
    <w:rsid w:val="00914178"/>
    <w:rsid w:val="00914AD8"/>
    <w:rsid w:val="009154AA"/>
    <w:rsid w:val="00915975"/>
    <w:rsid w:val="0091607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79D3"/>
    <w:rsid w:val="00927B3F"/>
    <w:rsid w:val="00930CCF"/>
    <w:rsid w:val="00930E68"/>
    <w:rsid w:val="00931148"/>
    <w:rsid w:val="00931AFB"/>
    <w:rsid w:val="00931BD9"/>
    <w:rsid w:val="00932D0C"/>
    <w:rsid w:val="009335EE"/>
    <w:rsid w:val="009336BF"/>
    <w:rsid w:val="00933CC1"/>
    <w:rsid w:val="00934191"/>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F4F"/>
    <w:rsid w:val="00955BA3"/>
    <w:rsid w:val="0095681E"/>
    <w:rsid w:val="00956EFA"/>
    <w:rsid w:val="009572D4"/>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4723"/>
    <w:rsid w:val="00974F23"/>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61"/>
    <w:rsid w:val="00991870"/>
    <w:rsid w:val="009924E3"/>
    <w:rsid w:val="00992516"/>
    <w:rsid w:val="0099299D"/>
    <w:rsid w:val="009929BE"/>
    <w:rsid w:val="0099487F"/>
    <w:rsid w:val="00994DCA"/>
    <w:rsid w:val="00995DBD"/>
    <w:rsid w:val="009960EC"/>
    <w:rsid w:val="00996B44"/>
    <w:rsid w:val="00996ED7"/>
    <w:rsid w:val="009970DD"/>
    <w:rsid w:val="009977B1"/>
    <w:rsid w:val="00997ADB"/>
    <w:rsid w:val="00997BF9"/>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A0A"/>
    <w:rsid w:val="009D1E0C"/>
    <w:rsid w:val="009D22A0"/>
    <w:rsid w:val="009D249B"/>
    <w:rsid w:val="009D318D"/>
    <w:rsid w:val="009D326D"/>
    <w:rsid w:val="009D389D"/>
    <w:rsid w:val="009D45B9"/>
    <w:rsid w:val="009D4E0A"/>
    <w:rsid w:val="009D4EED"/>
    <w:rsid w:val="009D4FF0"/>
    <w:rsid w:val="009D66B1"/>
    <w:rsid w:val="009D671A"/>
    <w:rsid w:val="009D69BE"/>
    <w:rsid w:val="009D703C"/>
    <w:rsid w:val="009D718F"/>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60E5"/>
    <w:rsid w:val="00A26473"/>
    <w:rsid w:val="00A264A9"/>
    <w:rsid w:val="00A26879"/>
    <w:rsid w:val="00A268DF"/>
    <w:rsid w:val="00A26D56"/>
    <w:rsid w:val="00A27785"/>
    <w:rsid w:val="00A27829"/>
    <w:rsid w:val="00A30187"/>
    <w:rsid w:val="00A30775"/>
    <w:rsid w:val="00A3175E"/>
    <w:rsid w:val="00A32CF3"/>
    <w:rsid w:val="00A3448A"/>
    <w:rsid w:val="00A345C0"/>
    <w:rsid w:val="00A35AE2"/>
    <w:rsid w:val="00A36297"/>
    <w:rsid w:val="00A365D2"/>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4279"/>
    <w:rsid w:val="00A54D8D"/>
    <w:rsid w:val="00A55B22"/>
    <w:rsid w:val="00A55B28"/>
    <w:rsid w:val="00A5629A"/>
    <w:rsid w:val="00A56798"/>
    <w:rsid w:val="00A56FE3"/>
    <w:rsid w:val="00A57977"/>
    <w:rsid w:val="00A60896"/>
    <w:rsid w:val="00A60B8E"/>
    <w:rsid w:val="00A61499"/>
    <w:rsid w:val="00A614AE"/>
    <w:rsid w:val="00A623AD"/>
    <w:rsid w:val="00A62A77"/>
    <w:rsid w:val="00A62DD4"/>
    <w:rsid w:val="00A63483"/>
    <w:rsid w:val="00A634A9"/>
    <w:rsid w:val="00A63BEA"/>
    <w:rsid w:val="00A644CA"/>
    <w:rsid w:val="00A64A69"/>
    <w:rsid w:val="00A6529E"/>
    <w:rsid w:val="00A657D7"/>
    <w:rsid w:val="00A65E06"/>
    <w:rsid w:val="00A660AC"/>
    <w:rsid w:val="00A6687C"/>
    <w:rsid w:val="00A6760C"/>
    <w:rsid w:val="00A67E6C"/>
    <w:rsid w:val="00A67FB1"/>
    <w:rsid w:val="00A7194D"/>
    <w:rsid w:val="00A71B99"/>
    <w:rsid w:val="00A71F88"/>
    <w:rsid w:val="00A730C4"/>
    <w:rsid w:val="00A733D2"/>
    <w:rsid w:val="00A739D0"/>
    <w:rsid w:val="00A73A0D"/>
    <w:rsid w:val="00A73B9B"/>
    <w:rsid w:val="00A7516F"/>
    <w:rsid w:val="00A75D39"/>
    <w:rsid w:val="00A761D4"/>
    <w:rsid w:val="00A76DBB"/>
    <w:rsid w:val="00A7706C"/>
    <w:rsid w:val="00A77EC4"/>
    <w:rsid w:val="00A80575"/>
    <w:rsid w:val="00A80AC7"/>
    <w:rsid w:val="00A81256"/>
    <w:rsid w:val="00A855D4"/>
    <w:rsid w:val="00A862D4"/>
    <w:rsid w:val="00A90CFA"/>
    <w:rsid w:val="00A91F1F"/>
    <w:rsid w:val="00A924A6"/>
    <w:rsid w:val="00A92879"/>
    <w:rsid w:val="00A93357"/>
    <w:rsid w:val="00A93E4E"/>
    <w:rsid w:val="00A9442A"/>
    <w:rsid w:val="00A94B28"/>
    <w:rsid w:val="00A94B9D"/>
    <w:rsid w:val="00A951DB"/>
    <w:rsid w:val="00A956B7"/>
    <w:rsid w:val="00A956F8"/>
    <w:rsid w:val="00A95CD7"/>
    <w:rsid w:val="00A97F16"/>
    <w:rsid w:val="00AA016F"/>
    <w:rsid w:val="00AA0F66"/>
    <w:rsid w:val="00AA0FCD"/>
    <w:rsid w:val="00AA1ED6"/>
    <w:rsid w:val="00AA20D0"/>
    <w:rsid w:val="00AA2C82"/>
    <w:rsid w:val="00AA330A"/>
    <w:rsid w:val="00AA33C1"/>
    <w:rsid w:val="00AA361D"/>
    <w:rsid w:val="00AA43F2"/>
    <w:rsid w:val="00AA51D6"/>
    <w:rsid w:val="00AA5A4B"/>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AA3"/>
    <w:rsid w:val="00AD122E"/>
    <w:rsid w:val="00AD20C4"/>
    <w:rsid w:val="00AD236B"/>
    <w:rsid w:val="00AD2C54"/>
    <w:rsid w:val="00AD3F94"/>
    <w:rsid w:val="00AD4A5A"/>
    <w:rsid w:val="00AD51ED"/>
    <w:rsid w:val="00AD59E2"/>
    <w:rsid w:val="00AD5F22"/>
    <w:rsid w:val="00AD62B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F1"/>
    <w:rsid w:val="00B16FFF"/>
    <w:rsid w:val="00B17033"/>
    <w:rsid w:val="00B176C4"/>
    <w:rsid w:val="00B20256"/>
    <w:rsid w:val="00B2074F"/>
    <w:rsid w:val="00B2097E"/>
    <w:rsid w:val="00B20D09"/>
    <w:rsid w:val="00B2133E"/>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A22"/>
    <w:rsid w:val="00B57F58"/>
    <w:rsid w:val="00B6021E"/>
    <w:rsid w:val="00B603CD"/>
    <w:rsid w:val="00B604C1"/>
    <w:rsid w:val="00B60F10"/>
    <w:rsid w:val="00B61000"/>
    <w:rsid w:val="00B626E7"/>
    <w:rsid w:val="00B62AAA"/>
    <w:rsid w:val="00B62B11"/>
    <w:rsid w:val="00B6366E"/>
    <w:rsid w:val="00B64259"/>
    <w:rsid w:val="00B6553E"/>
    <w:rsid w:val="00B658B9"/>
    <w:rsid w:val="00B66345"/>
    <w:rsid w:val="00B664C7"/>
    <w:rsid w:val="00B669B8"/>
    <w:rsid w:val="00B70733"/>
    <w:rsid w:val="00B716B4"/>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4708"/>
    <w:rsid w:val="00B855E5"/>
    <w:rsid w:val="00B856F3"/>
    <w:rsid w:val="00B85AAC"/>
    <w:rsid w:val="00B85DE5"/>
    <w:rsid w:val="00B8681D"/>
    <w:rsid w:val="00B86D1E"/>
    <w:rsid w:val="00B90031"/>
    <w:rsid w:val="00B906C8"/>
    <w:rsid w:val="00B90739"/>
    <w:rsid w:val="00B90F73"/>
    <w:rsid w:val="00B91DE3"/>
    <w:rsid w:val="00B923B3"/>
    <w:rsid w:val="00B92526"/>
    <w:rsid w:val="00B92DAF"/>
    <w:rsid w:val="00B92F19"/>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749A"/>
    <w:rsid w:val="00BC0B77"/>
    <w:rsid w:val="00BC0FDC"/>
    <w:rsid w:val="00BC1082"/>
    <w:rsid w:val="00BC1F30"/>
    <w:rsid w:val="00BC24C0"/>
    <w:rsid w:val="00BC25AA"/>
    <w:rsid w:val="00BC3053"/>
    <w:rsid w:val="00BC3FAD"/>
    <w:rsid w:val="00BC40B6"/>
    <w:rsid w:val="00BC44DE"/>
    <w:rsid w:val="00BC4D2E"/>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A8B"/>
    <w:rsid w:val="00BD7F16"/>
    <w:rsid w:val="00BE0B97"/>
    <w:rsid w:val="00BE0BF1"/>
    <w:rsid w:val="00BE1234"/>
    <w:rsid w:val="00BE1E63"/>
    <w:rsid w:val="00BE1FD4"/>
    <w:rsid w:val="00BE2FA6"/>
    <w:rsid w:val="00BE333F"/>
    <w:rsid w:val="00BE45B3"/>
    <w:rsid w:val="00BE4818"/>
    <w:rsid w:val="00BE5A09"/>
    <w:rsid w:val="00BE5A2F"/>
    <w:rsid w:val="00BE6453"/>
    <w:rsid w:val="00BE7406"/>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45"/>
    <w:rsid w:val="00C22E48"/>
    <w:rsid w:val="00C23EE8"/>
    <w:rsid w:val="00C2471F"/>
    <w:rsid w:val="00C24E68"/>
    <w:rsid w:val="00C25DF9"/>
    <w:rsid w:val="00C2656B"/>
    <w:rsid w:val="00C26FAA"/>
    <w:rsid w:val="00C279B5"/>
    <w:rsid w:val="00C27BD2"/>
    <w:rsid w:val="00C27C45"/>
    <w:rsid w:val="00C30691"/>
    <w:rsid w:val="00C30833"/>
    <w:rsid w:val="00C30F0B"/>
    <w:rsid w:val="00C35447"/>
    <w:rsid w:val="00C35564"/>
    <w:rsid w:val="00C35AA0"/>
    <w:rsid w:val="00C35CCF"/>
    <w:rsid w:val="00C3719D"/>
    <w:rsid w:val="00C3756F"/>
    <w:rsid w:val="00C377C8"/>
    <w:rsid w:val="00C4076A"/>
    <w:rsid w:val="00C41251"/>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9AE"/>
    <w:rsid w:val="00C525C1"/>
    <w:rsid w:val="00C52DC6"/>
    <w:rsid w:val="00C52FEE"/>
    <w:rsid w:val="00C532F3"/>
    <w:rsid w:val="00C53624"/>
    <w:rsid w:val="00C53871"/>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7170"/>
    <w:rsid w:val="00CB7876"/>
    <w:rsid w:val="00CB7F94"/>
    <w:rsid w:val="00CC0239"/>
    <w:rsid w:val="00CC040E"/>
    <w:rsid w:val="00CC0A45"/>
    <w:rsid w:val="00CC111F"/>
    <w:rsid w:val="00CC16FC"/>
    <w:rsid w:val="00CC1FB9"/>
    <w:rsid w:val="00CC2011"/>
    <w:rsid w:val="00CC2716"/>
    <w:rsid w:val="00CC33B9"/>
    <w:rsid w:val="00CC36B3"/>
    <w:rsid w:val="00CC3B48"/>
    <w:rsid w:val="00CC3EA0"/>
    <w:rsid w:val="00CC4046"/>
    <w:rsid w:val="00CC4265"/>
    <w:rsid w:val="00CC4C07"/>
    <w:rsid w:val="00CC745E"/>
    <w:rsid w:val="00CC7B45"/>
    <w:rsid w:val="00CD0521"/>
    <w:rsid w:val="00CD0676"/>
    <w:rsid w:val="00CD0D28"/>
    <w:rsid w:val="00CD0FCF"/>
    <w:rsid w:val="00CD1072"/>
    <w:rsid w:val="00CD1188"/>
    <w:rsid w:val="00CD2B1A"/>
    <w:rsid w:val="00CD2D0C"/>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74E6"/>
    <w:rsid w:val="00CE7561"/>
    <w:rsid w:val="00CE7D63"/>
    <w:rsid w:val="00CF1062"/>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7B42"/>
    <w:rsid w:val="00CF7C55"/>
    <w:rsid w:val="00D003E2"/>
    <w:rsid w:val="00D00EE6"/>
    <w:rsid w:val="00D0142B"/>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3135"/>
    <w:rsid w:val="00D13297"/>
    <w:rsid w:val="00D13310"/>
    <w:rsid w:val="00D13325"/>
    <w:rsid w:val="00D13C81"/>
    <w:rsid w:val="00D13E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F0"/>
    <w:rsid w:val="00D26C20"/>
    <w:rsid w:val="00D27F67"/>
    <w:rsid w:val="00D3005B"/>
    <w:rsid w:val="00D3014D"/>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B1D"/>
    <w:rsid w:val="00D8021F"/>
    <w:rsid w:val="00D80383"/>
    <w:rsid w:val="00D80ADB"/>
    <w:rsid w:val="00D80B3E"/>
    <w:rsid w:val="00D81DFE"/>
    <w:rsid w:val="00D81F78"/>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4B2F"/>
    <w:rsid w:val="00DC53EF"/>
    <w:rsid w:val="00DC6486"/>
    <w:rsid w:val="00DC69C5"/>
    <w:rsid w:val="00DC7AAD"/>
    <w:rsid w:val="00DC7E2E"/>
    <w:rsid w:val="00DD0200"/>
    <w:rsid w:val="00DD0A3C"/>
    <w:rsid w:val="00DD0CCA"/>
    <w:rsid w:val="00DD1174"/>
    <w:rsid w:val="00DD162C"/>
    <w:rsid w:val="00DD18FF"/>
    <w:rsid w:val="00DD267E"/>
    <w:rsid w:val="00DD4536"/>
    <w:rsid w:val="00DD5CE4"/>
    <w:rsid w:val="00DD6A8C"/>
    <w:rsid w:val="00DD6C37"/>
    <w:rsid w:val="00DD75E2"/>
    <w:rsid w:val="00DD7DCF"/>
    <w:rsid w:val="00DE06D0"/>
    <w:rsid w:val="00DE16A2"/>
    <w:rsid w:val="00DE1825"/>
    <w:rsid w:val="00DE1ADF"/>
    <w:rsid w:val="00DE3171"/>
    <w:rsid w:val="00DE320C"/>
    <w:rsid w:val="00DE356B"/>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F61"/>
    <w:rsid w:val="00DF6056"/>
    <w:rsid w:val="00DF7559"/>
    <w:rsid w:val="00E006FD"/>
    <w:rsid w:val="00E00D7C"/>
    <w:rsid w:val="00E012C0"/>
    <w:rsid w:val="00E017F6"/>
    <w:rsid w:val="00E02498"/>
    <w:rsid w:val="00E02957"/>
    <w:rsid w:val="00E02A05"/>
    <w:rsid w:val="00E02D54"/>
    <w:rsid w:val="00E034DB"/>
    <w:rsid w:val="00E03511"/>
    <w:rsid w:val="00E03709"/>
    <w:rsid w:val="00E045A4"/>
    <w:rsid w:val="00E04A56"/>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3D"/>
    <w:rsid w:val="00E31461"/>
    <w:rsid w:val="00E31D43"/>
    <w:rsid w:val="00E32189"/>
    <w:rsid w:val="00E3260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BD4"/>
    <w:rsid w:val="00E67540"/>
    <w:rsid w:val="00E677DD"/>
    <w:rsid w:val="00E67998"/>
    <w:rsid w:val="00E67C51"/>
    <w:rsid w:val="00E7011B"/>
    <w:rsid w:val="00E7069F"/>
    <w:rsid w:val="00E72EFC"/>
    <w:rsid w:val="00E73DC7"/>
    <w:rsid w:val="00E74859"/>
    <w:rsid w:val="00E75471"/>
    <w:rsid w:val="00E758EC"/>
    <w:rsid w:val="00E75FF8"/>
    <w:rsid w:val="00E76551"/>
    <w:rsid w:val="00E76ACC"/>
    <w:rsid w:val="00E77071"/>
    <w:rsid w:val="00E777F9"/>
    <w:rsid w:val="00E77D23"/>
    <w:rsid w:val="00E77EFF"/>
    <w:rsid w:val="00E77FAB"/>
    <w:rsid w:val="00E800C3"/>
    <w:rsid w:val="00E82310"/>
    <w:rsid w:val="00E8234C"/>
    <w:rsid w:val="00E82420"/>
    <w:rsid w:val="00E82FEE"/>
    <w:rsid w:val="00E831A8"/>
    <w:rsid w:val="00E83AA9"/>
    <w:rsid w:val="00E84B69"/>
    <w:rsid w:val="00E84D30"/>
    <w:rsid w:val="00E85241"/>
    <w:rsid w:val="00E85928"/>
    <w:rsid w:val="00E85D48"/>
    <w:rsid w:val="00E85DDF"/>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3BA7"/>
    <w:rsid w:val="00EB3C74"/>
    <w:rsid w:val="00EB3DE6"/>
    <w:rsid w:val="00EB4791"/>
    <w:rsid w:val="00EB4C70"/>
    <w:rsid w:val="00EB4EA2"/>
    <w:rsid w:val="00EB55C0"/>
    <w:rsid w:val="00EB68B4"/>
    <w:rsid w:val="00EB75F3"/>
    <w:rsid w:val="00EB7CE4"/>
    <w:rsid w:val="00EB7FE7"/>
    <w:rsid w:val="00EC17F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EFA"/>
    <w:rsid w:val="00F773FB"/>
    <w:rsid w:val="00F804BE"/>
    <w:rsid w:val="00F817CE"/>
    <w:rsid w:val="00F8300F"/>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30C"/>
    <w:rsid w:val="00F92782"/>
    <w:rsid w:val="00F92AE5"/>
    <w:rsid w:val="00F92EEF"/>
    <w:rsid w:val="00F93AA9"/>
    <w:rsid w:val="00F94192"/>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B0445"/>
    <w:rsid w:val="00FB1A04"/>
    <w:rsid w:val="00FB27C6"/>
    <w:rsid w:val="00FB2841"/>
    <w:rsid w:val="00FB3263"/>
    <w:rsid w:val="00FB330B"/>
    <w:rsid w:val="00FB4C80"/>
    <w:rsid w:val="00FB524B"/>
    <w:rsid w:val="00FB52BA"/>
    <w:rsid w:val="00FB5433"/>
    <w:rsid w:val="00FB5559"/>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C8"/>
    <w:rsid w:val="00FD2AEA"/>
    <w:rsid w:val="00FD2B52"/>
    <w:rsid w:val="00FD343D"/>
    <w:rsid w:val="00FD373C"/>
    <w:rsid w:val="00FD3F3C"/>
    <w:rsid w:val="00FD3FB3"/>
    <w:rsid w:val="00FD405F"/>
    <w:rsid w:val="00FD47ED"/>
    <w:rsid w:val="00FD6174"/>
    <w:rsid w:val="00FD653F"/>
    <w:rsid w:val="00FD74DB"/>
    <w:rsid w:val="00FD7660"/>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EB68B4"/>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emf"/><Relationship Id="rId13" Type="http://schemas.openxmlformats.org/officeDocument/2006/relationships/image" Target="media/image6.emf"/><Relationship Id="rId14" Type="http://schemas.openxmlformats.org/officeDocument/2006/relationships/image" Target="media/image7.emf"/><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3902F-0F9E-7848-82D6-BC9F0AC72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250</TotalTime>
  <Pages>9</Pages>
  <Words>3041</Words>
  <Characters>17334</Characters>
  <Application>Microsoft Macintosh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20335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43</cp:revision>
  <cp:lastPrinted>2008-01-31T16:09:00Z</cp:lastPrinted>
  <dcterms:created xsi:type="dcterms:W3CDTF">2017-09-28T15:58:00Z</dcterms:created>
  <dcterms:modified xsi:type="dcterms:W3CDTF">2017-10-02T22:36:00Z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